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D89A" w14:textId="36862885" w:rsidR="002116F3" w:rsidRPr="00BA72C3" w:rsidRDefault="002E1FB9" w:rsidP="001E37B3">
      <w:pPr>
        <w:pStyle w:val="BodyText"/>
        <w:rPr>
          <w:b/>
          <w:sz w:val="24"/>
          <w:szCs w:val="24"/>
        </w:rPr>
      </w:pPr>
      <w:r w:rsidRPr="00BA72C3">
        <w:rPr>
          <w:b/>
          <w:w w:val="105"/>
          <w:sz w:val="24"/>
          <w:szCs w:val="24"/>
        </w:rPr>
        <w:t>Hop Research Council 20</w:t>
      </w:r>
      <w:r w:rsidR="008E5CC9" w:rsidRPr="00BA72C3">
        <w:rPr>
          <w:b/>
          <w:w w:val="105"/>
          <w:sz w:val="24"/>
          <w:szCs w:val="24"/>
        </w:rPr>
        <w:t>2</w:t>
      </w:r>
      <w:r w:rsidR="00030F31">
        <w:rPr>
          <w:b/>
          <w:w w:val="105"/>
          <w:sz w:val="24"/>
          <w:szCs w:val="24"/>
        </w:rPr>
        <w:t>2</w:t>
      </w:r>
      <w:r w:rsidR="002116F3" w:rsidRPr="00BA72C3">
        <w:rPr>
          <w:b/>
          <w:w w:val="105"/>
          <w:sz w:val="24"/>
          <w:szCs w:val="24"/>
        </w:rPr>
        <w:t xml:space="preserve"> Research RFP</w:t>
      </w:r>
    </w:p>
    <w:p w14:paraId="6C897F7B" w14:textId="36A69521" w:rsidR="002116F3" w:rsidRPr="00BA72C3" w:rsidRDefault="004D0785" w:rsidP="001E37B3">
      <w:pPr>
        <w:pStyle w:val="BodyText"/>
        <w:rPr>
          <w:sz w:val="24"/>
          <w:szCs w:val="24"/>
        </w:rPr>
      </w:pPr>
      <w:r>
        <w:rPr>
          <w:noProof/>
          <w:w w:val="105"/>
          <w:sz w:val="24"/>
          <w:szCs w:val="24"/>
        </w:rPr>
        <w:t>June</w:t>
      </w:r>
      <w:r w:rsidR="00EC7B4D">
        <w:rPr>
          <w:noProof/>
          <w:w w:val="105"/>
          <w:sz w:val="24"/>
          <w:szCs w:val="24"/>
        </w:rPr>
        <w:t xml:space="preserve"> </w:t>
      </w:r>
      <w:r>
        <w:rPr>
          <w:noProof/>
          <w:w w:val="105"/>
          <w:sz w:val="24"/>
          <w:szCs w:val="24"/>
        </w:rPr>
        <w:t>16</w:t>
      </w:r>
      <w:r w:rsidR="00EC7B4D">
        <w:rPr>
          <w:noProof/>
          <w:w w:val="105"/>
          <w:sz w:val="24"/>
          <w:szCs w:val="24"/>
        </w:rPr>
        <w:t>,</w:t>
      </w:r>
      <w:r w:rsidR="002116F3" w:rsidRPr="00BA72C3">
        <w:rPr>
          <w:w w:val="105"/>
          <w:sz w:val="24"/>
          <w:szCs w:val="24"/>
        </w:rPr>
        <w:t xml:space="preserve"> 20</w:t>
      </w:r>
      <w:r w:rsidR="00D16220" w:rsidRPr="00BA72C3">
        <w:rPr>
          <w:w w:val="105"/>
          <w:sz w:val="24"/>
          <w:szCs w:val="24"/>
        </w:rPr>
        <w:t>2</w:t>
      </w:r>
      <w:r>
        <w:rPr>
          <w:w w:val="105"/>
          <w:sz w:val="24"/>
          <w:szCs w:val="24"/>
        </w:rPr>
        <w:t>1</w:t>
      </w:r>
    </w:p>
    <w:p w14:paraId="71EC957B" w14:textId="77777777" w:rsidR="002116F3" w:rsidRPr="00BA72C3" w:rsidRDefault="002116F3" w:rsidP="001E37B3">
      <w:pPr>
        <w:pStyle w:val="BodyText"/>
        <w:rPr>
          <w:sz w:val="24"/>
          <w:szCs w:val="24"/>
        </w:rPr>
      </w:pPr>
    </w:p>
    <w:p w14:paraId="1C2F7D02" w14:textId="24D1F782" w:rsidR="00E5222C" w:rsidRPr="00BA72C3" w:rsidRDefault="002E1FB9" w:rsidP="001E37B3">
      <w:pPr>
        <w:rPr>
          <w:noProof/>
          <w:w w:val="110"/>
        </w:rPr>
      </w:pPr>
      <w:r w:rsidRPr="00BA72C3">
        <w:rPr>
          <w:b/>
          <w:w w:val="110"/>
          <w:u w:color="5C6165"/>
        </w:rPr>
        <w:t>Project Title</w:t>
      </w:r>
      <w:r w:rsidRPr="00BA72C3">
        <w:rPr>
          <w:b/>
          <w:noProof/>
          <w:w w:val="110"/>
        </w:rPr>
        <w:t>:</w:t>
      </w:r>
      <w:r w:rsidR="004D4949" w:rsidRPr="00BA72C3">
        <w:rPr>
          <w:b/>
          <w:noProof/>
          <w:w w:val="110"/>
        </w:rPr>
        <w:t xml:space="preserve"> Screening Post Emergence Herbicides </w:t>
      </w:r>
      <w:r w:rsidR="004E6A42" w:rsidRPr="00BA72C3">
        <w:rPr>
          <w:b/>
          <w:noProof/>
          <w:w w:val="110"/>
        </w:rPr>
        <w:t xml:space="preserve">for </w:t>
      </w:r>
      <w:r w:rsidR="00CE7CDF" w:rsidRPr="00BA72C3">
        <w:rPr>
          <w:b/>
          <w:noProof/>
          <w:w w:val="110"/>
        </w:rPr>
        <w:t xml:space="preserve">Basal Application </w:t>
      </w:r>
      <w:r w:rsidR="004D4949" w:rsidRPr="00BA72C3">
        <w:rPr>
          <w:b/>
          <w:noProof/>
          <w:w w:val="110"/>
        </w:rPr>
        <w:t>in Hops</w:t>
      </w:r>
      <w:r w:rsidR="00B92DAF" w:rsidRPr="00BA72C3">
        <w:rPr>
          <w:noProof/>
          <w:w w:val="110"/>
        </w:rPr>
        <w:t xml:space="preserve"> </w:t>
      </w:r>
    </w:p>
    <w:p w14:paraId="64DB69CD" w14:textId="77777777" w:rsidR="0049651F" w:rsidRPr="00BA72C3" w:rsidRDefault="0049651F" w:rsidP="001E37B3">
      <w:pPr>
        <w:rPr>
          <w:b/>
        </w:rPr>
      </w:pPr>
    </w:p>
    <w:p w14:paraId="5076C087" w14:textId="0CCEC563" w:rsidR="008273E1" w:rsidRPr="00BA72C3" w:rsidRDefault="007F343B" w:rsidP="00A64005">
      <w:pPr>
        <w:rPr>
          <w:b/>
          <w:noProof/>
          <w:w w:val="110"/>
        </w:rPr>
      </w:pPr>
      <w:r w:rsidRPr="00BA72C3">
        <w:rPr>
          <w:b/>
          <w:w w:val="110"/>
          <w:u w:color="5C6165"/>
        </w:rPr>
        <w:t>Project summary</w:t>
      </w:r>
      <w:r w:rsidRPr="00BA72C3">
        <w:rPr>
          <w:b/>
          <w:noProof/>
          <w:w w:val="110"/>
        </w:rPr>
        <w:t xml:space="preserve">: </w:t>
      </w:r>
      <w:r w:rsidR="00382599" w:rsidRPr="00BA72C3">
        <w:rPr>
          <w:bCs/>
          <w:noProof/>
          <w:w w:val="110"/>
        </w:rPr>
        <w:t xml:space="preserve">Despite the importance of herbicides in </w:t>
      </w:r>
      <w:r w:rsidR="00BA04FF" w:rsidRPr="00BA72C3">
        <w:rPr>
          <w:bCs/>
          <w:noProof/>
          <w:w w:val="110"/>
        </w:rPr>
        <w:t>hop production in the USA</w:t>
      </w:r>
      <w:r w:rsidR="00382599" w:rsidRPr="00BA72C3">
        <w:rPr>
          <w:bCs/>
          <w:noProof/>
          <w:w w:val="110"/>
        </w:rPr>
        <w:t xml:space="preserve">, the active ingredients </w:t>
      </w:r>
      <w:r w:rsidR="00471B97">
        <w:rPr>
          <w:bCs/>
          <w:noProof/>
          <w:w w:val="110"/>
        </w:rPr>
        <w:t>labeled for hop</w:t>
      </w:r>
      <w:r w:rsidR="00471B97" w:rsidRPr="00BA72C3">
        <w:rPr>
          <w:bCs/>
          <w:noProof/>
          <w:w w:val="110"/>
        </w:rPr>
        <w:t xml:space="preserve"> </w:t>
      </w:r>
      <w:r w:rsidR="00382599" w:rsidRPr="00BA72C3">
        <w:rPr>
          <w:bCs/>
          <w:noProof/>
          <w:w w:val="110"/>
        </w:rPr>
        <w:t xml:space="preserve">is restricted to nine sites-of-action. </w:t>
      </w:r>
      <w:r w:rsidR="00BA04FF" w:rsidRPr="00BA72C3">
        <w:rPr>
          <w:bCs/>
          <w:noProof/>
          <w:w w:val="110"/>
        </w:rPr>
        <w:t xml:space="preserve">In 2020, </w:t>
      </w:r>
      <w:r w:rsidR="00D76312" w:rsidRPr="00BA72C3">
        <w:rPr>
          <w:bCs/>
          <w:noProof/>
          <w:w w:val="110"/>
        </w:rPr>
        <w:t>four</w:t>
      </w:r>
      <w:r w:rsidR="00BA04FF" w:rsidRPr="00BA72C3">
        <w:rPr>
          <w:bCs/>
          <w:noProof/>
          <w:w w:val="110"/>
        </w:rPr>
        <w:t xml:space="preserve"> new active ingredients were identified as potentially suitable </w:t>
      </w:r>
      <w:r w:rsidR="00471B97">
        <w:rPr>
          <w:bCs/>
          <w:noProof/>
          <w:w w:val="110"/>
        </w:rPr>
        <w:t>for</w:t>
      </w:r>
      <w:r w:rsidR="00471B97" w:rsidRPr="00BA72C3">
        <w:rPr>
          <w:bCs/>
          <w:noProof/>
          <w:w w:val="110"/>
        </w:rPr>
        <w:t xml:space="preserve"> </w:t>
      </w:r>
      <w:r w:rsidR="00BA04FF" w:rsidRPr="00BA72C3">
        <w:rPr>
          <w:bCs/>
          <w:noProof/>
          <w:w w:val="110"/>
        </w:rPr>
        <w:t>hops based on crop tolerance</w:t>
      </w:r>
      <w:r w:rsidR="00D76312" w:rsidRPr="00BA72C3">
        <w:rPr>
          <w:bCs/>
          <w:noProof/>
          <w:w w:val="110"/>
        </w:rPr>
        <w:t xml:space="preserve">, </w:t>
      </w:r>
      <w:r w:rsidR="00BA04FF" w:rsidRPr="00BA72C3">
        <w:rPr>
          <w:bCs/>
          <w:noProof/>
          <w:w w:val="110"/>
        </w:rPr>
        <w:t>weed control spectrum</w:t>
      </w:r>
      <w:r w:rsidR="00D76312" w:rsidRPr="00BA72C3">
        <w:rPr>
          <w:bCs/>
          <w:noProof/>
          <w:w w:val="110"/>
        </w:rPr>
        <w:t>, and reduced toxi</w:t>
      </w:r>
      <w:r w:rsidR="00520855" w:rsidRPr="00BA72C3">
        <w:rPr>
          <w:bCs/>
          <w:noProof/>
          <w:w w:val="110"/>
        </w:rPr>
        <w:t>city</w:t>
      </w:r>
      <w:r w:rsidR="00D76312" w:rsidRPr="00BA72C3">
        <w:rPr>
          <w:bCs/>
          <w:noProof/>
          <w:w w:val="110"/>
        </w:rPr>
        <w:t>. The</w:t>
      </w:r>
      <w:r w:rsidR="00520855" w:rsidRPr="00BA72C3">
        <w:rPr>
          <w:bCs/>
          <w:noProof/>
          <w:w w:val="110"/>
        </w:rPr>
        <w:t xml:space="preserve"> herbicide</w:t>
      </w:r>
      <w:r w:rsidR="009D023D">
        <w:rPr>
          <w:bCs/>
          <w:noProof/>
          <w:w w:val="110"/>
        </w:rPr>
        <w:t>s</w:t>
      </w:r>
      <w:r w:rsidR="00520855" w:rsidRPr="00BA72C3">
        <w:rPr>
          <w:bCs/>
          <w:noProof/>
          <w:w w:val="110"/>
        </w:rPr>
        <w:t xml:space="preserve"> and respective site</w:t>
      </w:r>
      <w:r w:rsidR="009D023D">
        <w:rPr>
          <w:bCs/>
          <w:noProof/>
          <w:w w:val="110"/>
        </w:rPr>
        <w:t>s</w:t>
      </w:r>
      <w:r w:rsidR="00520855" w:rsidRPr="00BA72C3">
        <w:rPr>
          <w:bCs/>
          <w:noProof/>
          <w:w w:val="110"/>
        </w:rPr>
        <w:t xml:space="preserve">-of-action WSSA group </w:t>
      </w:r>
      <w:r w:rsidR="00FF6B31">
        <w:rPr>
          <w:bCs/>
          <w:noProof/>
          <w:w w:val="110"/>
        </w:rPr>
        <w:t>numbers</w:t>
      </w:r>
      <w:r w:rsidR="00520855" w:rsidRPr="00BA72C3">
        <w:rPr>
          <w:bCs/>
          <w:noProof/>
          <w:w w:val="110"/>
        </w:rPr>
        <w:t xml:space="preserve"> were</w:t>
      </w:r>
      <w:r w:rsidR="00471B97">
        <w:rPr>
          <w:bCs/>
          <w:noProof/>
          <w:w w:val="110"/>
        </w:rPr>
        <w:t>:</w:t>
      </w:r>
      <w:r w:rsidR="00520855" w:rsidRPr="00BA72C3">
        <w:rPr>
          <w:bCs/>
          <w:noProof/>
          <w:w w:val="110"/>
        </w:rPr>
        <w:t xml:space="preserve"> tiafenacil (14), tolpyralate (27), halauxifen-methyl (4)</w:t>
      </w:r>
      <w:r w:rsidR="00EC7B4D">
        <w:rPr>
          <w:bCs/>
          <w:noProof/>
          <w:w w:val="110"/>
        </w:rPr>
        <w:t>,</w:t>
      </w:r>
      <w:r w:rsidR="00520855" w:rsidRPr="00BA72C3">
        <w:rPr>
          <w:bCs/>
          <w:noProof/>
          <w:w w:val="110"/>
        </w:rPr>
        <w:t xml:space="preserve"> and florpyrauxifen-benzyl (4). </w:t>
      </w:r>
      <w:r w:rsidR="00382599" w:rsidRPr="00BA72C3">
        <w:rPr>
          <w:bCs/>
          <w:noProof/>
          <w:w w:val="110"/>
        </w:rPr>
        <w:t xml:space="preserve">These compounds have known activity </w:t>
      </w:r>
      <w:r w:rsidR="009D023D">
        <w:rPr>
          <w:bCs/>
          <w:noProof/>
          <w:w w:val="110"/>
        </w:rPr>
        <w:t>against</w:t>
      </w:r>
      <w:r w:rsidR="009D023D" w:rsidRPr="00BA72C3">
        <w:rPr>
          <w:bCs/>
          <w:noProof/>
          <w:w w:val="110"/>
        </w:rPr>
        <w:t xml:space="preserve"> </w:t>
      </w:r>
      <w:r w:rsidR="00FF6B31">
        <w:rPr>
          <w:bCs/>
          <w:noProof/>
          <w:w w:val="110"/>
        </w:rPr>
        <w:t>crucial</w:t>
      </w:r>
      <w:r w:rsidR="00382599" w:rsidRPr="00BA72C3">
        <w:rPr>
          <w:bCs/>
          <w:noProof/>
          <w:w w:val="110"/>
        </w:rPr>
        <w:t xml:space="preserve"> weed species that are problematic in hops</w:t>
      </w:r>
      <w:r w:rsidR="00EC7B4D">
        <w:rPr>
          <w:bCs/>
          <w:noProof/>
          <w:w w:val="110"/>
        </w:rPr>
        <w:t>,</w:t>
      </w:r>
      <w:r w:rsidR="00382599" w:rsidRPr="00BA72C3">
        <w:rPr>
          <w:bCs/>
          <w:noProof/>
          <w:w w:val="110"/>
        </w:rPr>
        <w:t xml:space="preserve"> including, but not limited to</w:t>
      </w:r>
      <w:r w:rsidR="00CE7CDF" w:rsidRPr="00BA72C3">
        <w:rPr>
          <w:bCs/>
          <w:noProof/>
          <w:w w:val="110"/>
        </w:rPr>
        <w:t xml:space="preserve">: </w:t>
      </w:r>
      <w:r w:rsidR="00382599" w:rsidRPr="00BA72C3">
        <w:rPr>
          <w:bCs/>
          <w:noProof/>
          <w:w w:val="110"/>
        </w:rPr>
        <w:t xml:space="preserve">Canada thistle, field bindweed, </w:t>
      </w:r>
      <w:r w:rsidR="00FF6B31">
        <w:rPr>
          <w:bCs/>
          <w:noProof/>
          <w:w w:val="110"/>
        </w:rPr>
        <w:t>Kochia</w:t>
      </w:r>
      <w:r w:rsidR="00382599" w:rsidRPr="00BA72C3">
        <w:rPr>
          <w:bCs/>
          <w:noProof/>
          <w:w w:val="110"/>
        </w:rPr>
        <w:t xml:space="preserve">, </w:t>
      </w:r>
      <w:r w:rsidR="00520855" w:rsidRPr="00BA72C3">
        <w:rPr>
          <w:bCs/>
          <w:noProof/>
          <w:w w:val="110"/>
        </w:rPr>
        <w:t xml:space="preserve">yellow </w:t>
      </w:r>
      <w:r w:rsidR="00EC7B4D">
        <w:rPr>
          <w:bCs/>
          <w:noProof/>
          <w:w w:val="110"/>
        </w:rPr>
        <w:t>nutsedge</w:t>
      </w:r>
      <w:r w:rsidR="00520855" w:rsidRPr="00BA72C3">
        <w:rPr>
          <w:bCs/>
          <w:noProof/>
          <w:w w:val="110"/>
        </w:rPr>
        <w:t xml:space="preserve">, </w:t>
      </w:r>
      <w:r w:rsidR="00382599" w:rsidRPr="00BA72C3">
        <w:rPr>
          <w:bCs/>
          <w:noProof/>
          <w:w w:val="110"/>
        </w:rPr>
        <w:t xml:space="preserve">and annual grasses. </w:t>
      </w:r>
      <w:r w:rsidR="003F4A16">
        <w:rPr>
          <w:bCs/>
          <w:noProof/>
          <w:w w:val="110"/>
        </w:rPr>
        <w:t xml:space="preserve">Based on the results of </w:t>
      </w:r>
      <w:r w:rsidR="009D023D">
        <w:rPr>
          <w:bCs/>
          <w:noProof/>
          <w:w w:val="110"/>
        </w:rPr>
        <w:t xml:space="preserve">the </w:t>
      </w:r>
      <w:r w:rsidR="003F4A16">
        <w:rPr>
          <w:bCs/>
          <w:noProof/>
          <w:w w:val="110"/>
        </w:rPr>
        <w:t>2020</w:t>
      </w:r>
      <w:r w:rsidR="004D0785">
        <w:rPr>
          <w:bCs/>
          <w:noProof/>
          <w:w w:val="110"/>
        </w:rPr>
        <w:t xml:space="preserve"> and 2021</w:t>
      </w:r>
      <w:r w:rsidR="009D023D">
        <w:rPr>
          <w:bCs/>
          <w:noProof/>
          <w:w w:val="110"/>
        </w:rPr>
        <w:t xml:space="preserve"> trials</w:t>
      </w:r>
      <w:r w:rsidR="003F4A16">
        <w:rPr>
          <w:bCs/>
          <w:noProof/>
          <w:w w:val="110"/>
        </w:rPr>
        <w:t xml:space="preserve">, we propose to </w:t>
      </w:r>
      <w:r w:rsidR="00F74C56">
        <w:rPr>
          <w:bCs/>
          <w:noProof/>
          <w:w w:val="110"/>
        </w:rPr>
        <w:t xml:space="preserve">continue </w:t>
      </w:r>
      <w:r w:rsidR="003F4A16">
        <w:rPr>
          <w:bCs/>
          <w:noProof/>
          <w:w w:val="110"/>
        </w:rPr>
        <w:t>test</w:t>
      </w:r>
      <w:r w:rsidR="00F74C56">
        <w:rPr>
          <w:bCs/>
          <w:noProof/>
          <w:w w:val="110"/>
        </w:rPr>
        <w:t>ing</w:t>
      </w:r>
      <w:r w:rsidR="003F4A16">
        <w:rPr>
          <w:bCs/>
          <w:noProof/>
          <w:w w:val="110"/>
        </w:rPr>
        <w:t xml:space="preserve"> tiafenacil </w:t>
      </w:r>
      <w:r w:rsidR="00F74C56">
        <w:rPr>
          <w:bCs/>
          <w:noProof/>
          <w:w w:val="110"/>
        </w:rPr>
        <w:t xml:space="preserve">and glufosinate </w:t>
      </w:r>
      <w:r w:rsidR="003F4A16">
        <w:rPr>
          <w:bCs/>
          <w:noProof/>
          <w:w w:val="110"/>
        </w:rPr>
        <w:t xml:space="preserve">as a spring pruning herbicide compared to carfetrazone. </w:t>
      </w:r>
      <w:r w:rsidR="00382599" w:rsidRPr="00BA72C3">
        <w:rPr>
          <w:bCs/>
          <w:noProof/>
          <w:w w:val="110"/>
        </w:rPr>
        <w:t xml:space="preserve">The </w:t>
      </w:r>
      <w:r w:rsidR="00520855" w:rsidRPr="00BA72C3">
        <w:rPr>
          <w:bCs/>
          <w:noProof/>
          <w:w w:val="110"/>
        </w:rPr>
        <w:t xml:space="preserve">findings of this study </w:t>
      </w:r>
      <w:r w:rsidR="00382599" w:rsidRPr="00BA72C3">
        <w:rPr>
          <w:bCs/>
          <w:noProof/>
          <w:w w:val="110"/>
        </w:rPr>
        <w:t xml:space="preserve">will support future registrations </w:t>
      </w:r>
      <w:r w:rsidR="00520855" w:rsidRPr="00BA72C3">
        <w:rPr>
          <w:bCs/>
          <w:noProof/>
          <w:w w:val="110"/>
        </w:rPr>
        <w:t xml:space="preserve">and help identify </w:t>
      </w:r>
      <w:r w:rsidR="003F4A16">
        <w:rPr>
          <w:bCs/>
          <w:noProof/>
          <w:w w:val="110"/>
        </w:rPr>
        <w:t>new use</w:t>
      </w:r>
      <w:r w:rsidR="00520855" w:rsidRPr="00BA72C3">
        <w:rPr>
          <w:bCs/>
          <w:noProof/>
          <w:w w:val="110"/>
        </w:rPr>
        <w:t xml:space="preserve"> patterns for </w:t>
      </w:r>
      <w:r w:rsidR="00382599" w:rsidRPr="00BA72C3">
        <w:rPr>
          <w:bCs/>
          <w:noProof/>
          <w:w w:val="110"/>
        </w:rPr>
        <w:t xml:space="preserve">the active ingredients </w:t>
      </w:r>
      <w:r w:rsidR="003F4A16">
        <w:rPr>
          <w:bCs/>
          <w:noProof/>
          <w:w w:val="110"/>
        </w:rPr>
        <w:t>being evaluated for registration</w:t>
      </w:r>
      <w:r w:rsidR="009D023D">
        <w:rPr>
          <w:bCs/>
          <w:noProof/>
          <w:w w:val="110"/>
        </w:rPr>
        <w:t xml:space="preserve">. Glufosinate is </w:t>
      </w:r>
      <w:r w:rsidR="003F4A16">
        <w:rPr>
          <w:bCs/>
          <w:noProof/>
          <w:w w:val="110"/>
        </w:rPr>
        <w:t xml:space="preserve">soon to be registered </w:t>
      </w:r>
      <w:r w:rsidR="009D023D">
        <w:rPr>
          <w:bCs/>
          <w:noProof/>
          <w:w w:val="110"/>
        </w:rPr>
        <w:t>for hop</w:t>
      </w:r>
      <w:r w:rsidR="00382599" w:rsidRPr="00BA72C3">
        <w:rPr>
          <w:bCs/>
          <w:noProof/>
          <w:w w:val="110"/>
        </w:rPr>
        <w:t xml:space="preserve">. </w:t>
      </w:r>
      <w:r w:rsidR="00CE7CDF" w:rsidRPr="00BA72C3">
        <w:rPr>
          <w:bCs/>
          <w:noProof/>
          <w:w w:val="110"/>
        </w:rPr>
        <w:t xml:space="preserve">Results of </w:t>
      </w:r>
      <w:r w:rsidR="00520855" w:rsidRPr="00BA72C3">
        <w:rPr>
          <w:bCs/>
          <w:noProof/>
          <w:w w:val="110"/>
        </w:rPr>
        <w:t>2020</w:t>
      </w:r>
      <w:r w:rsidR="00F74C56">
        <w:rPr>
          <w:bCs/>
          <w:noProof/>
          <w:w w:val="110"/>
        </w:rPr>
        <w:t xml:space="preserve"> and 2021</w:t>
      </w:r>
      <w:r w:rsidR="00520855" w:rsidRPr="00BA72C3">
        <w:rPr>
          <w:bCs/>
          <w:noProof/>
          <w:w w:val="110"/>
        </w:rPr>
        <w:t xml:space="preserve"> </w:t>
      </w:r>
      <w:r w:rsidR="00CE7CDF" w:rsidRPr="00BA72C3">
        <w:rPr>
          <w:bCs/>
          <w:noProof/>
          <w:w w:val="110"/>
        </w:rPr>
        <w:t xml:space="preserve">studies have </w:t>
      </w:r>
      <w:r w:rsidR="009D023D">
        <w:rPr>
          <w:bCs/>
          <w:noProof/>
          <w:w w:val="110"/>
        </w:rPr>
        <w:t>attracted</w:t>
      </w:r>
      <w:r w:rsidR="009D023D" w:rsidRPr="00BA72C3">
        <w:rPr>
          <w:bCs/>
          <w:noProof/>
          <w:w w:val="110"/>
        </w:rPr>
        <w:t xml:space="preserve"> </w:t>
      </w:r>
      <w:r w:rsidR="00520855" w:rsidRPr="00BA72C3">
        <w:rPr>
          <w:bCs/>
          <w:noProof/>
          <w:w w:val="110"/>
        </w:rPr>
        <w:t xml:space="preserve">manufacturer support for a project clearance request to the IR-4 </w:t>
      </w:r>
      <w:r w:rsidR="00EC7B4D">
        <w:rPr>
          <w:bCs/>
          <w:noProof/>
          <w:w w:val="110"/>
        </w:rPr>
        <w:t>p</w:t>
      </w:r>
      <w:r w:rsidR="00520855" w:rsidRPr="00BA72C3">
        <w:rPr>
          <w:bCs/>
          <w:noProof/>
          <w:w w:val="110"/>
        </w:rPr>
        <w:t xml:space="preserve">rogram. </w:t>
      </w:r>
    </w:p>
    <w:p w14:paraId="76C4D9D3" w14:textId="77777777" w:rsidR="00251D84" w:rsidRPr="00BA72C3" w:rsidRDefault="00251D84" w:rsidP="001E37B3">
      <w:pPr>
        <w:rPr>
          <w:b/>
        </w:rPr>
      </w:pPr>
    </w:p>
    <w:p w14:paraId="144FD91B" w14:textId="51DFECF0" w:rsidR="007F343B" w:rsidRPr="00BA72C3" w:rsidRDefault="007F343B" w:rsidP="001E37B3">
      <w:pPr>
        <w:rPr>
          <w:b/>
        </w:rPr>
      </w:pPr>
      <w:r w:rsidRPr="00BA72C3">
        <w:rPr>
          <w:b/>
        </w:rPr>
        <w:t>Proposed Duration:</w:t>
      </w:r>
      <w:r w:rsidR="009D023D">
        <w:rPr>
          <w:b/>
        </w:rPr>
        <w:t xml:space="preserve"> T</w:t>
      </w:r>
      <w:r w:rsidR="0049651F" w:rsidRPr="00BA72C3">
        <w:rPr>
          <w:b/>
          <w:noProof/>
        </w:rPr>
        <w:t>hree</w:t>
      </w:r>
      <w:r w:rsidRPr="00BA72C3">
        <w:rPr>
          <w:b/>
        </w:rPr>
        <w:t xml:space="preserve"> years</w:t>
      </w:r>
      <w:r w:rsidR="00CE7CDF" w:rsidRPr="00BA72C3">
        <w:rPr>
          <w:b/>
        </w:rPr>
        <w:t xml:space="preserve"> (</w:t>
      </w:r>
      <w:r w:rsidRPr="00BA72C3">
        <w:rPr>
          <w:b/>
        </w:rPr>
        <w:t>20</w:t>
      </w:r>
      <w:r w:rsidR="00A64005" w:rsidRPr="00BA72C3">
        <w:rPr>
          <w:b/>
        </w:rPr>
        <w:t>20</w:t>
      </w:r>
      <w:r w:rsidRPr="00BA72C3">
        <w:rPr>
          <w:b/>
        </w:rPr>
        <w:t>-202</w:t>
      </w:r>
      <w:r w:rsidR="00A64005" w:rsidRPr="00BA72C3">
        <w:rPr>
          <w:b/>
        </w:rPr>
        <w:t>2</w:t>
      </w:r>
      <w:r w:rsidRPr="00BA72C3">
        <w:rPr>
          <w:b/>
        </w:rPr>
        <w:t>)</w:t>
      </w:r>
      <w:r w:rsidR="00CE7CDF" w:rsidRPr="00BA72C3">
        <w:rPr>
          <w:b/>
        </w:rPr>
        <w:t>;</w:t>
      </w:r>
      <w:r w:rsidR="00D16220" w:rsidRPr="00BA72C3">
        <w:rPr>
          <w:b/>
        </w:rPr>
        <w:t xml:space="preserve"> </w:t>
      </w:r>
      <w:r w:rsidR="00CE7CDF" w:rsidRPr="00BA72C3">
        <w:rPr>
          <w:b/>
        </w:rPr>
        <w:t xml:space="preserve">this document is for </w:t>
      </w:r>
      <w:r w:rsidR="009D023D">
        <w:rPr>
          <w:b/>
        </w:rPr>
        <w:t xml:space="preserve">the </w:t>
      </w:r>
      <w:r w:rsidR="004D0785">
        <w:rPr>
          <w:b/>
        </w:rPr>
        <w:t>third</w:t>
      </w:r>
      <w:r w:rsidR="00D16220" w:rsidRPr="00BA72C3">
        <w:rPr>
          <w:b/>
        </w:rPr>
        <w:t xml:space="preserve"> year</w:t>
      </w:r>
      <w:r w:rsidR="00CE7CDF" w:rsidRPr="00BA72C3">
        <w:rPr>
          <w:b/>
        </w:rPr>
        <w:t xml:space="preserve"> (202</w:t>
      </w:r>
      <w:r w:rsidR="004D0785">
        <w:rPr>
          <w:b/>
        </w:rPr>
        <w:t>2</w:t>
      </w:r>
      <w:r w:rsidR="00CE7CDF" w:rsidRPr="00BA72C3">
        <w:rPr>
          <w:b/>
        </w:rPr>
        <w:t>).</w:t>
      </w:r>
    </w:p>
    <w:p w14:paraId="5648A178" w14:textId="77777777" w:rsidR="007F343B" w:rsidRPr="00BA72C3" w:rsidRDefault="007F343B" w:rsidP="001E37B3">
      <w:pPr>
        <w:rPr>
          <w:b/>
        </w:rPr>
      </w:pPr>
    </w:p>
    <w:p w14:paraId="3B676F6E" w14:textId="77777777" w:rsidR="00E5222C" w:rsidRPr="00BA72C3" w:rsidRDefault="00E5222C" w:rsidP="001E37B3">
      <w:pPr>
        <w:rPr>
          <w:b/>
        </w:rPr>
      </w:pPr>
      <w:r w:rsidRPr="00BA72C3">
        <w:rPr>
          <w:b/>
          <w:noProof/>
        </w:rPr>
        <w:t>P</w:t>
      </w:r>
      <w:r w:rsidR="007F343B" w:rsidRPr="00BA72C3">
        <w:rPr>
          <w:b/>
          <w:noProof/>
        </w:rPr>
        <w:t>roject</w:t>
      </w:r>
      <w:r w:rsidR="007F343B" w:rsidRPr="00BA72C3">
        <w:rPr>
          <w:b/>
        </w:rPr>
        <w:t xml:space="preserve"> leader</w:t>
      </w:r>
      <w:r w:rsidRPr="00BA72C3">
        <w:rPr>
          <w:b/>
        </w:rPr>
        <w:t>:</w:t>
      </w:r>
    </w:p>
    <w:p w14:paraId="0A2AABF3" w14:textId="7CAE7326" w:rsidR="00FA3CF7" w:rsidRPr="00BA72C3" w:rsidRDefault="00FA3CF7" w:rsidP="001E37B3">
      <w:pPr>
        <w:pStyle w:val="Heading2"/>
        <w:ind w:left="0"/>
        <w:rPr>
          <w:sz w:val="24"/>
          <w:szCs w:val="24"/>
        </w:rPr>
      </w:pPr>
      <w:r w:rsidRPr="00BA72C3">
        <w:rPr>
          <w:i/>
          <w:sz w:val="24"/>
          <w:szCs w:val="24"/>
          <w:u w:val="single"/>
        </w:rPr>
        <w:t>Marcelo L Moretti, Assistant Professor Weed Science</w:t>
      </w:r>
      <w:r w:rsidRPr="00BA72C3">
        <w:rPr>
          <w:sz w:val="24"/>
          <w:szCs w:val="24"/>
        </w:rPr>
        <w:t>, Oregon State University</w:t>
      </w:r>
      <w:r w:rsidR="009D023D">
        <w:rPr>
          <w:sz w:val="24"/>
          <w:szCs w:val="24"/>
        </w:rPr>
        <w:t>,</w:t>
      </w:r>
      <w:r w:rsidR="009D023D" w:rsidRPr="009D023D">
        <w:rPr>
          <w:sz w:val="24"/>
          <w:szCs w:val="24"/>
        </w:rPr>
        <w:t xml:space="preserve"> </w:t>
      </w:r>
      <w:r w:rsidR="009D023D" w:rsidRPr="00BA72C3">
        <w:rPr>
          <w:sz w:val="24"/>
          <w:szCs w:val="24"/>
        </w:rPr>
        <w:t>Dept. of Horticulture, Corvallis, 4017 Agriculture &amp; Life Sciences Building, OR 97331</w:t>
      </w:r>
      <w:r w:rsidRPr="00BA72C3">
        <w:rPr>
          <w:sz w:val="24"/>
          <w:szCs w:val="24"/>
        </w:rPr>
        <w:t xml:space="preserve">, </w:t>
      </w:r>
      <w:r w:rsidR="007F343B" w:rsidRPr="00BA72C3">
        <w:rPr>
          <w:sz w:val="24"/>
          <w:szCs w:val="24"/>
        </w:rPr>
        <w:t>office</w:t>
      </w:r>
      <w:r w:rsidRPr="00BA72C3">
        <w:rPr>
          <w:sz w:val="24"/>
          <w:szCs w:val="24"/>
        </w:rPr>
        <w:t xml:space="preserve"> </w:t>
      </w:r>
      <w:r w:rsidRPr="00BA72C3">
        <w:rPr>
          <w:rFonts w:eastAsia="Calibri"/>
          <w:sz w:val="24"/>
          <w:szCs w:val="24"/>
        </w:rPr>
        <w:t xml:space="preserve">(541) 737-5454; </w:t>
      </w:r>
      <w:r w:rsidR="007F343B" w:rsidRPr="00BA72C3">
        <w:rPr>
          <w:sz w:val="24"/>
          <w:szCs w:val="24"/>
        </w:rPr>
        <w:t>marcelo.moretti@oregonstate.edu.</w:t>
      </w:r>
    </w:p>
    <w:p w14:paraId="22134CB7" w14:textId="77777777" w:rsidR="00C77424" w:rsidRPr="00BA72C3" w:rsidRDefault="00C77424" w:rsidP="001E37B3">
      <w:pPr>
        <w:pStyle w:val="Heading2"/>
        <w:ind w:left="0"/>
        <w:rPr>
          <w:i/>
          <w:sz w:val="24"/>
          <w:szCs w:val="24"/>
          <w:u w:val="single"/>
        </w:rPr>
      </w:pPr>
    </w:p>
    <w:p w14:paraId="2BA09F53" w14:textId="335F9C45" w:rsidR="00A64005" w:rsidRPr="00BA72C3" w:rsidRDefault="00C77424" w:rsidP="00A64005">
      <w:pPr>
        <w:widowControl/>
        <w:autoSpaceDE/>
        <w:autoSpaceDN/>
        <w:adjustRightInd/>
        <w:rPr>
          <w:color w:val="000000"/>
        </w:rPr>
      </w:pPr>
      <w:r w:rsidRPr="00BA72C3">
        <w:rPr>
          <w:b/>
          <w:noProof/>
        </w:rPr>
        <w:t>Cooperator</w:t>
      </w:r>
      <w:r w:rsidR="00AF41AC" w:rsidRPr="00BA72C3">
        <w:rPr>
          <w:b/>
          <w:noProof/>
        </w:rPr>
        <w:t>s</w:t>
      </w:r>
      <w:r w:rsidRPr="00BA72C3">
        <w:rPr>
          <w:b/>
        </w:rPr>
        <w:t xml:space="preserve">: </w:t>
      </w:r>
      <w:r w:rsidR="00A64005" w:rsidRPr="00BA72C3">
        <w:rPr>
          <w:b/>
        </w:rPr>
        <w:t xml:space="preserve">Doug Weathers </w:t>
      </w:r>
      <w:r w:rsidR="00A64005" w:rsidRPr="00BA72C3">
        <w:rPr>
          <w:color w:val="000000"/>
        </w:rPr>
        <w:t>Sodbuster Farms, Inc.</w:t>
      </w:r>
      <w:r w:rsidR="00CE7CDF" w:rsidRPr="00BA72C3">
        <w:rPr>
          <w:color w:val="000000"/>
        </w:rPr>
        <w:t xml:space="preserve"> </w:t>
      </w:r>
      <w:r w:rsidR="00A64005" w:rsidRPr="00BA72C3">
        <w:rPr>
          <w:color w:val="000000"/>
        </w:rPr>
        <w:t xml:space="preserve">Salem, OR. </w:t>
      </w:r>
    </w:p>
    <w:p w14:paraId="245ED81F" w14:textId="112794F8" w:rsidR="0049651F" w:rsidRPr="00BA72C3" w:rsidRDefault="0049651F" w:rsidP="001E37B3">
      <w:pPr>
        <w:rPr>
          <w:b/>
        </w:rPr>
      </w:pPr>
    </w:p>
    <w:p w14:paraId="6595EE8F" w14:textId="359BC4EE" w:rsidR="00FA3CF7" w:rsidRPr="00BA72C3" w:rsidRDefault="005910A7" w:rsidP="001E37B3">
      <w:pPr>
        <w:rPr>
          <w:b/>
        </w:rPr>
      </w:pPr>
      <w:r w:rsidRPr="00BA72C3">
        <w:rPr>
          <w:b/>
        </w:rPr>
        <w:t>Funds requested:</w:t>
      </w:r>
    </w:p>
    <w:p w14:paraId="43EDC0DC" w14:textId="51519CE2" w:rsidR="005910A7" w:rsidRPr="00BA72C3" w:rsidRDefault="005910A7" w:rsidP="001E37B3">
      <w:pPr>
        <w:rPr>
          <w:iCs/>
        </w:rPr>
      </w:pPr>
      <w:r w:rsidRPr="00BA72C3">
        <w:rPr>
          <w:b/>
          <w:iCs/>
        </w:rPr>
        <w:t>202</w:t>
      </w:r>
      <w:r w:rsidR="004D0785">
        <w:rPr>
          <w:b/>
          <w:iCs/>
        </w:rPr>
        <w:t>2</w:t>
      </w:r>
      <w:r w:rsidRPr="00BA72C3">
        <w:rPr>
          <w:b/>
          <w:iCs/>
        </w:rPr>
        <w:t>:</w:t>
      </w:r>
      <w:r w:rsidRPr="00BA72C3">
        <w:rPr>
          <w:iCs/>
        </w:rPr>
        <w:t xml:space="preserve"> </w:t>
      </w:r>
      <w:r w:rsidR="00126276">
        <w:rPr>
          <w:iCs/>
        </w:rPr>
        <w:t>32,600 (</w:t>
      </w:r>
      <w:r w:rsidRPr="00BA72C3">
        <w:rPr>
          <w:iCs/>
        </w:rPr>
        <w:t>$</w:t>
      </w:r>
      <w:r w:rsidR="001F484D" w:rsidRPr="00BA72C3">
        <w:rPr>
          <w:iCs/>
        </w:rPr>
        <w:t>2</w:t>
      </w:r>
      <w:r w:rsidR="007C13EE">
        <w:rPr>
          <w:iCs/>
        </w:rPr>
        <w:t>8</w:t>
      </w:r>
      <w:r w:rsidR="001F484D" w:rsidRPr="00BA72C3">
        <w:rPr>
          <w:iCs/>
        </w:rPr>
        <w:t>,</w:t>
      </w:r>
      <w:r w:rsidR="007C13EE">
        <w:rPr>
          <w:iCs/>
        </w:rPr>
        <w:t>000</w:t>
      </w:r>
      <w:r w:rsidR="00126276">
        <w:rPr>
          <w:iCs/>
        </w:rPr>
        <w:t xml:space="preserve"> +$</w:t>
      </w:r>
      <w:r w:rsidR="00126276" w:rsidRPr="00126276">
        <w:rPr>
          <w:i/>
        </w:rPr>
        <w:t>4,600</w:t>
      </w:r>
      <w:r w:rsidR="00126276">
        <w:rPr>
          <w:iCs/>
        </w:rPr>
        <w:t>)</w:t>
      </w:r>
      <w:r w:rsidRPr="00BA72C3">
        <w:rPr>
          <w:iCs/>
        </w:rPr>
        <w:tab/>
      </w:r>
      <w:r w:rsidR="00BB6119">
        <w:rPr>
          <w:iCs/>
        </w:rPr>
        <w:t>(revised to accommodate new objective</w:t>
      </w:r>
      <w:r w:rsidR="00126276">
        <w:rPr>
          <w:iCs/>
        </w:rPr>
        <w:t xml:space="preserve"> and crop destruct charges</w:t>
      </w:r>
      <w:r w:rsidR="00BB6119">
        <w:rPr>
          <w:iCs/>
        </w:rPr>
        <w:t>)</w:t>
      </w:r>
    </w:p>
    <w:p w14:paraId="130C9AC1" w14:textId="469E307E" w:rsidR="00E5222C" w:rsidRPr="00BA72C3" w:rsidRDefault="00E5222C" w:rsidP="001E37B3">
      <w:pPr>
        <w:rPr>
          <w:i/>
        </w:rPr>
      </w:pPr>
    </w:p>
    <w:p w14:paraId="519C31FF" w14:textId="77777777" w:rsidR="00D16220" w:rsidRPr="00BA72C3" w:rsidRDefault="00D16220" w:rsidP="001E37B3">
      <w:pPr>
        <w:rPr>
          <w:i/>
        </w:rPr>
      </w:pPr>
    </w:p>
    <w:p w14:paraId="6599A7FE" w14:textId="7743292E" w:rsidR="005910A7" w:rsidRPr="00BA72C3" w:rsidRDefault="005910A7" w:rsidP="001E37B3">
      <w:pPr>
        <w:rPr>
          <w:b/>
        </w:rPr>
      </w:pPr>
      <w:r w:rsidRPr="00BA72C3">
        <w:rPr>
          <w:b/>
        </w:rPr>
        <w:t xml:space="preserve">Other Funding </w:t>
      </w:r>
      <w:r w:rsidR="00EC7B4D">
        <w:rPr>
          <w:b/>
        </w:rPr>
        <w:t>Sources</w:t>
      </w:r>
      <w:r w:rsidRPr="00BA72C3">
        <w:rPr>
          <w:b/>
        </w:rPr>
        <w:t xml:space="preserve"> and Support:</w:t>
      </w:r>
    </w:p>
    <w:p w14:paraId="52CE98DC" w14:textId="550CA35F" w:rsidR="005910A7" w:rsidRPr="00BA72C3" w:rsidRDefault="00D16220" w:rsidP="001E37B3">
      <w:r w:rsidRPr="00BA72C3">
        <w:t xml:space="preserve">Washington Hops – </w:t>
      </w:r>
      <w:r w:rsidR="00CE7CDF" w:rsidRPr="00BA72C3">
        <w:t xml:space="preserve">We have requested an extension </w:t>
      </w:r>
      <w:r w:rsidRPr="00BA72C3">
        <w:t>of</w:t>
      </w:r>
      <w:r w:rsidR="00CE7CDF" w:rsidRPr="00BA72C3">
        <w:t xml:space="preserve"> this</w:t>
      </w:r>
      <w:r w:rsidRPr="00BA72C3">
        <w:t xml:space="preserve"> project scope in</w:t>
      </w:r>
      <w:r w:rsidR="00CE7CDF" w:rsidRPr="00BA72C3">
        <w:t>to</w:t>
      </w:r>
      <w:r w:rsidRPr="00BA72C3">
        <w:t xml:space="preserve"> Washington</w:t>
      </w:r>
      <w:r w:rsidR="00CE7CDF" w:rsidRPr="00BA72C3">
        <w:t xml:space="preserve"> State, although that request is n</w:t>
      </w:r>
      <w:r w:rsidRPr="00BA72C3">
        <w:t xml:space="preserve">ot listed </w:t>
      </w:r>
      <w:r w:rsidR="00CE7CDF" w:rsidRPr="00BA72C3">
        <w:t xml:space="preserve">in </w:t>
      </w:r>
      <w:r w:rsidRPr="00BA72C3">
        <w:t>this budget.</w:t>
      </w:r>
    </w:p>
    <w:p w14:paraId="5ACB04BD" w14:textId="77777777" w:rsidR="005910A7" w:rsidRPr="00BA72C3" w:rsidRDefault="005910A7" w:rsidP="001E37B3"/>
    <w:p w14:paraId="3981B82D" w14:textId="59CB6D41" w:rsidR="005910A7" w:rsidRPr="00BA72C3" w:rsidRDefault="005910A7" w:rsidP="001E37B3">
      <w:pPr>
        <w:rPr>
          <w:b/>
        </w:rPr>
      </w:pPr>
      <w:r w:rsidRPr="00BA72C3">
        <w:rPr>
          <w:b/>
        </w:rPr>
        <w:t>Send Fund</w:t>
      </w:r>
      <w:r w:rsidR="004E3F5F" w:rsidRPr="00BA72C3">
        <w:rPr>
          <w:b/>
        </w:rPr>
        <w:t>s</w:t>
      </w:r>
      <w:r w:rsidRPr="00BA72C3">
        <w:rPr>
          <w:b/>
        </w:rPr>
        <w:t xml:space="preserve"> to: </w:t>
      </w:r>
    </w:p>
    <w:p w14:paraId="4083774E" w14:textId="77777777" w:rsidR="005910A7" w:rsidRPr="00BA72C3" w:rsidRDefault="005910A7" w:rsidP="001E37B3">
      <w:r w:rsidRPr="00BA72C3">
        <w:t>Agricultural Research Foundation, 1600 SW Western Blvd., Suite 320</w:t>
      </w:r>
    </w:p>
    <w:p w14:paraId="0E84C6D4" w14:textId="77777777" w:rsidR="005910A7" w:rsidRPr="00BA72C3" w:rsidRDefault="005910A7" w:rsidP="001E37B3">
      <w:r w:rsidRPr="00BA72C3">
        <w:t>Oregon State University, Corvallis, OR 97333.</w:t>
      </w:r>
    </w:p>
    <w:p w14:paraId="417621F1" w14:textId="75FAC8BF" w:rsidR="0049651F" w:rsidRPr="00BA72C3" w:rsidRDefault="005910A7" w:rsidP="00382599">
      <w:pPr>
        <w:widowControl/>
        <w:shd w:val="clear" w:color="auto" w:fill="FFFFFF"/>
        <w:autoSpaceDE/>
        <w:autoSpaceDN/>
        <w:adjustRightInd/>
      </w:pPr>
      <w:r w:rsidRPr="00BA72C3">
        <w:t>Attn: Charlene Wilkinson</w:t>
      </w:r>
      <w:r w:rsidR="009D023D">
        <w:t>;</w:t>
      </w:r>
      <w:r w:rsidRPr="00BA72C3">
        <w:t xml:space="preserve"> Phone (541)</w:t>
      </w:r>
      <w:r w:rsidR="009D023D">
        <w:t xml:space="preserve"> </w:t>
      </w:r>
      <w:r w:rsidRPr="00BA72C3">
        <w:t>737-3228 Email: </w:t>
      </w:r>
      <w:hyperlink r:id="rId6" w:history="1">
        <w:r w:rsidRPr="00BA72C3">
          <w:t>Charlene.Wilkinson@oregonstate.edu</w:t>
        </w:r>
      </w:hyperlink>
      <w:r w:rsidR="0049651F" w:rsidRPr="00BA72C3">
        <w:br w:type="page"/>
      </w:r>
    </w:p>
    <w:p w14:paraId="79734B9A" w14:textId="5677D20F" w:rsidR="005910A7" w:rsidRPr="00BA72C3" w:rsidRDefault="0049651F" w:rsidP="001E37B3">
      <w:pPr>
        <w:rPr>
          <w:bCs/>
        </w:rPr>
      </w:pPr>
      <w:r w:rsidRPr="00BA72C3">
        <w:rPr>
          <w:b/>
          <w:w w:val="110"/>
          <w:u w:color="5C6165"/>
        </w:rPr>
        <w:lastRenderedPageBreak/>
        <w:t>Project Title</w:t>
      </w:r>
      <w:r w:rsidRPr="00BA72C3">
        <w:rPr>
          <w:b/>
          <w:noProof/>
          <w:w w:val="110"/>
        </w:rPr>
        <w:t xml:space="preserve">: </w:t>
      </w:r>
      <w:r w:rsidR="001F484D" w:rsidRPr="00BA72C3">
        <w:rPr>
          <w:bCs/>
          <w:noProof/>
          <w:w w:val="110"/>
        </w:rPr>
        <w:t xml:space="preserve">Screening Post Emergence Herbicides for </w:t>
      </w:r>
      <w:r w:rsidR="00CE7CDF" w:rsidRPr="00BA72C3">
        <w:rPr>
          <w:bCs/>
          <w:noProof/>
          <w:w w:val="110"/>
        </w:rPr>
        <w:t>Basal A</w:t>
      </w:r>
      <w:r w:rsidR="001F484D" w:rsidRPr="00BA72C3">
        <w:rPr>
          <w:bCs/>
          <w:noProof/>
          <w:w w:val="110"/>
        </w:rPr>
        <w:t>pplication in Hops</w:t>
      </w:r>
    </w:p>
    <w:p w14:paraId="39952F72" w14:textId="77777777" w:rsidR="00CE7CDF" w:rsidRPr="00BA72C3" w:rsidRDefault="00CE7CDF" w:rsidP="001E37B3">
      <w:pPr>
        <w:rPr>
          <w:bCs/>
          <w:i/>
          <w:iCs/>
        </w:rPr>
      </w:pPr>
    </w:p>
    <w:p w14:paraId="14B3A650" w14:textId="60E4458E" w:rsidR="00ED5C0D" w:rsidRPr="00BA72C3" w:rsidRDefault="0049651F" w:rsidP="001E37B3">
      <w:pPr>
        <w:rPr>
          <w:bCs/>
          <w:i/>
          <w:iCs/>
        </w:rPr>
      </w:pPr>
      <w:r w:rsidRPr="00BA72C3">
        <w:rPr>
          <w:bCs/>
          <w:i/>
          <w:iCs/>
        </w:rPr>
        <w:t>Statement of Problem</w:t>
      </w:r>
      <w:r w:rsidR="00CE7CDF" w:rsidRPr="00BA72C3">
        <w:rPr>
          <w:bCs/>
          <w:i/>
          <w:iCs/>
        </w:rPr>
        <w:t>:</w:t>
      </w:r>
    </w:p>
    <w:p w14:paraId="25D5DD31" w14:textId="0906D68D" w:rsidR="00382599" w:rsidRPr="00BA72C3" w:rsidRDefault="00382599" w:rsidP="00382599">
      <w:pPr>
        <w:widowControl/>
        <w:autoSpaceDE/>
        <w:autoSpaceDN/>
        <w:adjustRightInd/>
      </w:pPr>
      <w:r w:rsidRPr="00BA72C3">
        <w:t>Chemical weed management options in hop yards are restricted to a small group of herbicides. Few of these herbicides are effective in controlling problematic weeds like field bindweed (</w:t>
      </w:r>
      <w:r w:rsidRPr="00BA72C3">
        <w:rPr>
          <w:i/>
          <w:iCs/>
          <w:color w:val="1C1E29"/>
        </w:rPr>
        <w:t>Convolvulus arvensis</w:t>
      </w:r>
      <w:r w:rsidRPr="00BA72C3">
        <w:t>), Canada thistle (</w:t>
      </w:r>
      <w:r w:rsidRPr="00BA72C3">
        <w:rPr>
          <w:i/>
          <w:iCs/>
          <w:color w:val="1C1E29"/>
        </w:rPr>
        <w:t xml:space="preserve">Cirsium </w:t>
      </w:r>
      <w:proofErr w:type="spellStart"/>
      <w:r w:rsidRPr="00BA72C3">
        <w:rPr>
          <w:i/>
          <w:iCs/>
          <w:color w:val="1C1E29"/>
        </w:rPr>
        <w:t>arvense</w:t>
      </w:r>
      <w:proofErr w:type="spellEnd"/>
      <w:r w:rsidRPr="00BA72C3">
        <w:t xml:space="preserve">), </w:t>
      </w:r>
      <w:r w:rsidR="00520855" w:rsidRPr="00BA72C3">
        <w:t>yellow nuts</w:t>
      </w:r>
      <w:r w:rsidR="00CE7CDF" w:rsidRPr="00BA72C3">
        <w:t>e</w:t>
      </w:r>
      <w:r w:rsidR="00520855" w:rsidRPr="00BA72C3">
        <w:t>dge (</w:t>
      </w:r>
      <w:r w:rsidR="00520855" w:rsidRPr="00BA72C3">
        <w:rPr>
          <w:i/>
          <w:iCs/>
        </w:rPr>
        <w:t>Cyperus esculentus</w:t>
      </w:r>
      <w:r w:rsidR="00520855" w:rsidRPr="00BA72C3">
        <w:t xml:space="preserve">), </w:t>
      </w:r>
      <w:r w:rsidRPr="00BA72C3">
        <w:t xml:space="preserve">and </w:t>
      </w:r>
      <w:r w:rsidR="00CE7CDF" w:rsidRPr="00BA72C3">
        <w:t>k</w:t>
      </w:r>
      <w:r w:rsidRPr="00BA72C3">
        <w:t>ochia (</w:t>
      </w:r>
      <w:r w:rsidR="000C3F83" w:rsidRPr="00BA72C3">
        <w:rPr>
          <w:i/>
          <w:iCs/>
          <w:color w:val="1C1E29"/>
        </w:rPr>
        <w:t>Bassia</w:t>
      </w:r>
      <w:r w:rsidRPr="00BA72C3">
        <w:rPr>
          <w:i/>
          <w:iCs/>
          <w:color w:val="1C1E29"/>
        </w:rPr>
        <w:t xml:space="preserve"> scoparia</w:t>
      </w:r>
      <w:r w:rsidRPr="00BA72C3">
        <w:t xml:space="preserve">). Additional </w:t>
      </w:r>
      <w:r w:rsidR="00CE7CDF" w:rsidRPr="00BA72C3">
        <w:t xml:space="preserve">herbicide </w:t>
      </w:r>
      <w:r w:rsidRPr="00BA72C3">
        <w:t>options with different site</w:t>
      </w:r>
      <w:r w:rsidR="009D023D">
        <w:t>s</w:t>
      </w:r>
      <w:r w:rsidRPr="00BA72C3">
        <w:t xml:space="preserve">-of-action in hops </w:t>
      </w:r>
      <w:r w:rsidR="00CE7CDF" w:rsidRPr="00BA72C3">
        <w:t>would contribute mightily to</w:t>
      </w:r>
      <w:r w:rsidRPr="00BA72C3">
        <w:t xml:space="preserve"> better herbicide resistance management (</w:t>
      </w:r>
      <w:proofErr w:type="spellStart"/>
      <w:r w:rsidRPr="00BA72C3">
        <w:t>Norswort</w:t>
      </w:r>
      <w:r w:rsidR="00ED5C0D" w:rsidRPr="00BA72C3">
        <w:t>h</w:t>
      </w:r>
      <w:r w:rsidRPr="00BA72C3">
        <w:t>y</w:t>
      </w:r>
      <w:proofErr w:type="spellEnd"/>
      <w:r w:rsidRPr="00BA72C3">
        <w:t xml:space="preserve"> 2012). Herbicide-</w:t>
      </w:r>
      <w:r w:rsidR="00CE7CDF" w:rsidRPr="00BA72C3">
        <w:t xml:space="preserve">resistance </w:t>
      </w:r>
      <w:r w:rsidRPr="00BA72C3">
        <w:t xml:space="preserve">is a problem in many weed species, including </w:t>
      </w:r>
      <w:r w:rsidR="00CE7CDF" w:rsidRPr="00BA72C3">
        <w:t>kochia</w:t>
      </w:r>
      <w:r w:rsidR="009D023D">
        <w:t>, which is</w:t>
      </w:r>
      <w:r w:rsidR="00CE7CDF" w:rsidRPr="00BA72C3">
        <w:t xml:space="preserve"> </w:t>
      </w:r>
      <w:r w:rsidRPr="00BA72C3">
        <w:t>resistant to herbicide groups 2, 4, 5, and</w:t>
      </w:r>
      <w:r w:rsidR="008C70B4" w:rsidRPr="00BA72C3">
        <w:t xml:space="preserve"> </w:t>
      </w:r>
      <w:r w:rsidRPr="00BA72C3">
        <w:t xml:space="preserve">10 in </w:t>
      </w:r>
      <w:r w:rsidR="00CE7CDF" w:rsidRPr="00BA72C3">
        <w:t>the w</w:t>
      </w:r>
      <w:r w:rsidRPr="00BA72C3">
        <w:t>estern US (Heap 20</w:t>
      </w:r>
      <w:r w:rsidR="008C70B4" w:rsidRPr="00BA72C3">
        <w:t>20</w:t>
      </w:r>
      <w:r w:rsidRPr="00BA72C3">
        <w:t>). Although less common, herbicide resistance has also been reported in perennial weeds like Canada thistle in Europe (Heap 20</w:t>
      </w:r>
      <w:r w:rsidR="008C70B4" w:rsidRPr="00BA72C3">
        <w:t>20</w:t>
      </w:r>
      <w:r w:rsidRPr="00BA72C3">
        <w:t xml:space="preserve">). </w:t>
      </w:r>
      <w:r w:rsidR="008C70B4" w:rsidRPr="00BA72C3">
        <w:rPr>
          <w:bCs/>
          <w:noProof/>
          <w:w w:val="110"/>
        </w:rPr>
        <w:t>Environmental and human health concerns, as in the case of paraquat, can further limit herbicide availability.</w:t>
      </w:r>
      <w:r w:rsidRPr="00BA72C3">
        <w:t xml:space="preserve"> The identification of </w:t>
      </w:r>
      <w:r w:rsidR="008C70B4" w:rsidRPr="00BA72C3">
        <w:t xml:space="preserve">new </w:t>
      </w:r>
      <w:r w:rsidRPr="00BA72C3">
        <w:t xml:space="preserve">active compounds </w:t>
      </w:r>
      <w:r w:rsidR="00CE7CDF" w:rsidRPr="00BA72C3">
        <w:t>would</w:t>
      </w:r>
      <w:r w:rsidRPr="00BA72C3">
        <w:t xml:space="preserve"> </w:t>
      </w:r>
      <w:r w:rsidR="008C70B4" w:rsidRPr="00BA72C3">
        <w:t xml:space="preserve">provide </w:t>
      </w:r>
      <w:r w:rsidR="00CE7CDF" w:rsidRPr="00BA72C3">
        <w:t xml:space="preserve">effective </w:t>
      </w:r>
      <w:r w:rsidRPr="00BA72C3">
        <w:t>weed management options</w:t>
      </w:r>
      <w:r w:rsidR="008C70B4" w:rsidRPr="00BA72C3">
        <w:t xml:space="preserve"> to hop growers</w:t>
      </w:r>
      <w:r w:rsidR="00CE7CDF" w:rsidRPr="00BA72C3">
        <w:t xml:space="preserve"> while reducing the risk of selection for herbicide resistance</w:t>
      </w:r>
      <w:r w:rsidRPr="00BA72C3">
        <w:t>.</w:t>
      </w:r>
      <w:r w:rsidR="00CE7CDF" w:rsidRPr="00BA72C3">
        <w:t xml:space="preserve"> </w:t>
      </w:r>
    </w:p>
    <w:p w14:paraId="4F138AFD" w14:textId="77777777" w:rsidR="00DA2749" w:rsidRPr="00BA72C3" w:rsidRDefault="00DA2749" w:rsidP="001E37B3">
      <w:pPr>
        <w:rPr>
          <w:b/>
          <w:bCs/>
        </w:rPr>
      </w:pPr>
    </w:p>
    <w:p w14:paraId="7CDE4FFF" w14:textId="77777777" w:rsidR="004B07D5" w:rsidRPr="00BA72C3" w:rsidRDefault="004B07D5" w:rsidP="001E37B3">
      <w:pPr>
        <w:rPr>
          <w:b/>
          <w:bCs/>
        </w:rPr>
      </w:pPr>
      <w:r w:rsidRPr="00BA72C3">
        <w:rPr>
          <w:b/>
          <w:bCs/>
        </w:rPr>
        <w:t>Relationship to Hop Research Council Research Priority:</w:t>
      </w:r>
      <w:r w:rsidR="00DF6D59" w:rsidRPr="00BA72C3">
        <w:rPr>
          <w:b/>
          <w:bCs/>
        </w:rPr>
        <w:t xml:space="preserve"> </w:t>
      </w:r>
    </w:p>
    <w:p w14:paraId="2FF02E34" w14:textId="18A4865F" w:rsidR="004B07D5" w:rsidRPr="00BA72C3" w:rsidRDefault="001F484D" w:rsidP="001E37B3">
      <w:r w:rsidRPr="00BA72C3">
        <w:t>Weed Management</w:t>
      </w:r>
      <w:r w:rsidR="00FD2CA4" w:rsidRPr="00BA72C3">
        <w:t xml:space="preserve"> Priority</w:t>
      </w:r>
      <w:r w:rsidR="00B92DAF" w:rsidRPr="00BA72C3">
        <w:t xml:space="preserve"> </w:t>
      </w:r>
      <w:r w:rsidRPr="00BA72C3">
        <w:t>4</w:t>
      </w:r>
      <w:r w:rsidR="00617186" w:rsidRPr="00BA72C3">
        <w:t xml:space="preserve"> </w:t>
      </w:r>
      <w:r w:rsidR="00FD2CA4" w:rsidRPr="00BA72C3">
        <w:t xml:space="preserve">- </w:t>
      </w:r>
      <w:r w:rsidR="00617186" w:rsidRPr="00BA72C3">
        <w:t xml:space="preserve">Management </w:t>
      </w:r>
      <w:r w:rsidR="00FD2CA4" w:rsidRPr="00BA72C3">
        <w:t>of Canada thistle</w:t>
      </w:r>
      <w:r w:rsidRPr="00BA72C3">
        <w:t>,</w:t>
      </w:r>
      <w:r w:rsidR="008C2B9E" w:rsidRPr="00BA72C3">
        <w:t xml:space="preserve"> </w:t>
      </w:r>
      <w:r w:rsidR="00CE7CDF" w:rsidRPr="00BA72C3">
        <w:t xml:space="preserve">morning glory </w:t>
      </w:r>
      <w:r w:rsidR="008C2B9E" w:rsidRPr="00BA72C3">
        <w:t>(</w:t>
      </w:r>
      <w:r w:rsidR="008C70B4" w:rsidRPr="00BA72C3">
        <w:t>a.k.a.; f</w:t>
      </w:r>
      <w:r w:rsidR="008C2B9E" w:rsidRPr="00BA72C3">
        <w:t xml:space="preserve">ield bindweed), and </w:t>
      </w:r>
      <w:r w:rsidR="00CE7CDF" w:rsidRPr="00BA72C3">
        <w:t>kochia</w:t>
      </w:r>
      <w:r w:rsidR="008C2B9E" w:rsidRPr="00BA72C3">
        <w:t>.</w:t>
      </w:r>
    </w:p>
    <w:p w14:paraId="651F78C1" w14:textId="77777777" w:rsidR="00FA5DC5" w:rsidRPr="00BA72C3" w:rsidRDefault="00FA5DC5" w:rsidP="001E37B3">
      <w:pPr>
        <w:rPr>
          <w:bCs/>
        </w:rPr>
      </w:pPr>
    </w:p>
    <w:p w14:paraId="4A148366" w14:textId="7F61170B" w:rsidR="00C80EAA" w:rsidRPr="00BA72C3" w:rsidRDefault="00C80EAA" w:rsidP="001E37B3">
      <w:r w:rsidRPr="00BA72C3">
        <w:rPr>
          <w:b/>
          <w:bCs/>
        </w:rPr>
        <w:t>Objectives:</w:t>
      </w:r>
      <w:r w:rsidR="00DF6D59" w:rsidRPr="00BA72C3">
        <w:t xml:space="preserve"> </w:t>
      </w:r>
    </w:p>
    <w:p w14:paraId="79D47C1E" w14:textId="3DB7276B" w:rsidR="00003822" w:rsidRPr="00BA72C3" w:rsidRDefault="00A54D37" w:rsidP="00003822">
      <w:pPr>
        <w:pStyle w:val="ListParagraph"/>
        <w:numPr>
          <w:ilvl w:val="0"/>
          <w:numId w:val="19"/>
        </w:numPr>
      </w:pPr>
      <w:r w:rsidRPr="00BA72C3">
        <w:t xml:space="preserve">To evaluate </w:t>
      </w:r>
      <w:r w:rsidR="008C2B9E" w:rsidRPr="00BA72C3">
        <w:t xml:space="preserve">hops response to herbicides </w:t>
      </w:r>
      <w:proofErr w:type="spellStart"/>
      <w:r w:rsidR="008C70B4" w:rsidRPr="00BA72C3">
        <w:t>tiafenacil</w:t>
      </w:r>
      <w:proofErr w:type="spellEnd"/>
      <w:r w:rsidR="008C70B4" w:rsidRPr="00BA72C3">
        <w:t xml:space="preserve">, </w:t>
      </w:r>
      <w:proofErr w:type="spellStart"/>
      <w:r w:rsidR="008C70B4" w:rsidRPr="00BA72C3">
        <w:t>tolpyralate</w:t>
      </w:r>
      <w:proofErr w:type="spellEnd"/>
      <w:r w:rsidR="008C70B4" w:rsidRPr="00BA72C3">
        <w:t xml:space="preserve">, and </w:t>
      </w:r>
      <w:proofErr w:type="spellStart"/>
      <w:r w:rsidR="008C70B4" w:rsidRPr="00BA72C3">
        <w:t>florpyrauxifen</w:t>
      </w:r>
      <w:proofErr w:type="spellEnd"/>
      <w:r w:rsidR="008C70B4" w:rsidRPr="00BA72C3">
        <w:t xml:space="preserve">-benzyl. </w:t>
      </w:r>
    </w:p>
    <w:p w14:paraId="3E366BA3" w14:textId="36802107" w:rsidR="00BA72C3" w:rsidRPr="00BA72C3" w:rsidRDefault="00BA72C3" w:rsidP="00003822">
      <w:pPr>
        <w:pStyle w:val="ListParagraph"/>
        <w:numPr>
          <w:ilvl w:val="0"/>
          <w:numId w:val="19"/>
        </w:numPr>
      </w:pPr>
      <w:r w:rsidRPr="00BA72C3">
        <w:t>To assess tiafenacil and glufosinate for spring pruning or crowning of hops.</w:t>
      </w:r>
    </w:p>
    <w:p w14:paraId="4CA10014" w14:textId="77777777" w:rsidR="005440C0" w:rsidRPr="00BA72C3" w:rsidRDefault="005440C0" w:rsidP="001E37B3"/>
    <w:p w14:paraId="578CD3A2" w14:textId="77777777" w:rsidR="00B93417" w:rsidRPr="00BA72C3" w:rsidRDefault="00B93417" w:rsidP="001E37B3">
      <w:pPr>
        <w:tabs>
          <w:tab w:val="left" w:pos="990"/>
        </w:tabs>
        <w:rPr>
          <w:b/>
          <w:bCs/>
        </w:rPr>
      </w:pPr>
      <w:r w:rsidRPr="00BA72C3">
        <w:rPr>
          <w:b/>
          <w:bCs/>
        </w:rPr>
        <w:t xml:space="preserve">Justification and </w:t>
      </w:r>
      <w:r w:rsidR="004E3CC6" w:rsidRPr="00BA72C3">
        <w:rPr>
          <w:b/>
          <w:bCs/>
          <w:noProof/>
        </w:rPr>
        <w:t>i</w:t>
      </w:r>
      <w:r w:rsidR="004B07D5" w:rsidRPr="00BA72C3">
        <w:rPr>
          <w:b/>
          <w:bCs/>
          <w:noProof/>
        </w:rPr>
        <w:t>mport</w:t>
      </w:r>
      <w:r w:rsidR="0049651F" w:rsidRPr="00BA72C3">
        <w:rPr>
          <w:b/>
          <w:bCs/>
          <w:noProof/>
        </w:rPr>
        <w:t>a</w:t>
      </w:r>
      <w:r w:rsidR="004B07D5" w:rsidRPr="00BA72C3">
        <w:rPr>
          <w:b/>
          <w:bCs/>
          <w:noProof/>
        </w:rPr>
        <w:t>n</w:t>
      </w:r>
      <w:r w:rsidR="0049651F" w:rsidRPr="00BA72C3">
        <w:rPr>
          <w:b/>
          <w:bCs/>
          <w:noProof/>
        </w:rPr>
        <w:t>ce</w:t>
      </w:r>
      <w:r w:rsidR="00C80EAA" w:rsidRPr="00BA72C3">
        <w:rPr>
          <w:b/>
          <w:bCs/>
          <w:noProof/>
        </w:rPr>
        <w:t xml:space="preserve"> of p</w:t>
      </w:r>
      <w:r w:rsidR="004E3CC6" w:rsidRPr="00BA72C3">
        <w:rPr>
          <w:b/>
          <w:bCs/>
          <w:noProof/>
        </w:rPr>
        <w:t>ropose</w:t>
      </w:r>
      <w:r w:rsidR="00C80EAA" w:rsidRPr="00BA72C3">
        <w:rPr>
          <w:b/>
          <w:bCs/>
          <w:noProof/>
        </w:rPr>
        <w:t>d research</w:t>
      </w:r>
      <w:r w:rsidRPr="00BA72C3">
        <w:rPr>
          <w:b/>
          <w:bCs/>
        </w:rPr>
        <w:t>:</w:t>
      </w:r>
    </w:p>
    <w:p w14:paraId="34310EB1" w14:textId="769D7307" w:rsidR="00EC7B4D" w:rsidRDefault="00ED5C0D" w:rsidP="000C3F83">
      <w:r w:rsidRPr="00BA72C3">
        <w:t xml:space="preserve">Management of </w:t>
      </w:r>
      <w:r w:rsidR="00CE7CDF" w:rsidRPr="00BA72C3">
        <w:t>kochia</w:t>
      </w:r>
      <w:r w:rsidRPr="00BA72C3">
        <w:t>, Canada thistle, and field bindweed (</w:t>
      </w:r>
      <w:r w:rsidR="009D023D" w:rsidRPr="00BA72C3">
        <w:t>a.k.a</w:t>
      </w:r>
      <w:r w:rsidR="009D023D">
        <w:t>.</w:t>
      </w:r>
      <w:r w:rsidR="009D023D" w:rsidRPr="00BA72C3" w:rsidDel="009D023D">
        <w:t xml:space="preserve"> </w:t>
      </w:r>
      <w:r w:rsidRPr="00BA72C3">
        <w:t xml:space="preserve"> morning glory) was identified as a research priority by hop growers (HRC</w:t>
      </w:r>
      <w:r w:rsidR="00821D94">
        <w:t>,</w:t>
      </w:r>
      <w:r w:rsidRPr="00BA72C3">
        <w:t xml:space="preserve"> 2019). </w:t>
      </w:r>
      <w:r w:rsidR="00CE7CDF" w:rsidRPr="00BA72C3">
        <w:t>M</w:t>
      </w:r>
      <w:r w:rsidRPr="00BA72C3">
        <w:t xml:space="preserve">anagement of these weed species </w:t>
      </w:r>
      <w:r w:rsidR="009D023D" w:rsidRPr="00BA72C3">
        <w:t xml:space="preserve">in hops </w:t>
      </w:r>
      <w:r w:rsidRPr="00BA72C3">
        <w:t xml:space="preserve">is challenging because of the restricted number of herbicides currently registered </w:t>
      </w:r>
      <w:r w:rsidR="009D023D">
        <w:t>for</w:t>
      </w:r>
      <w:r w:rsidR="009D023D" w:rsidRPr="00BA72C3">
        <w:t xml:space="preserve"> </w:t>
      </w:r>
      <w:r w:rsidRPr="00BA72C3">
        <w:t xml:space="preserve">hops. </w:t>
      </w:r>
      <w:r w:rsidR="009D023D">
        <w:t>S</w:t>
      </w:r>
      <w:r w:rsidR="006D253E" w:rsidRPr="00BA72C3">
        <w:t>even</w:t>
      </w:r>
      <w:r w:rsidRPr="00BA72C3">
        <w:t xml:space="preserve"> active ingredients </w:t>
      </w:r>
      <w:r w:rsidR="009D023D">
        <w:t xml:space="preserve">are </w:t>
      </w:r>
      <w:r w:rsidRPr="00BA72C3">
        <w:t xml:space="preserve">used as preemergence herbicides and eight </w:t>
      </w:r>
      <w:r w:rsidR="009D023D">
        <w:t xml:space="preserve">as </w:t>
      </w:r>
      <w:r w:rsidRPr="00BA72C3">
        <w:t xml:space="preserve">post-emergence (Table 1). </w:t>
      </w:r>
      <w:r w:rsidR="009D023D">
        <w:t>Those numbers are</w:t>
      </w:r>
      <w:r w:rsidRPr="00BA72C3">
        <w:t xml:space="preserve"> further reduced when considering the </w:t>
      </w:r>
      <w:r w:rsidR="00CE7CDF" w:rsidRPr="00BA72C3">
        <w:t xml:space="preserve">efficacy </w:t>
      </w:r>
      <w:r w:rsidRPr="00BA72C3">
        <w:t xml:space="preserve">of weed control </w:t>
      </w:r>
      <w:r w:rsidR="00CE7CDF" w:rsidRPr="00BA72C3">
        <w:t>against the</w:t>
      </w:r>
      <w:r w:rsidRPr="00BA72C3">
        <w:t xml:space="preserve"> weeds listed </w:t>
      </w:r>
      <w:r w:rsidR="00CE7CDF" w:rsidRPr="00BA72C3">
        <w:t>here</w:t>
      </w:r>
      <w:r w:rsidRPr="00BA72C3">
        <w:t>. Herbicides that have activity on these weeds, like glyphosate, cannot be applied to the hop row during the growing season, while 2,4-D use is restricted to the row middles. When consider</w:t>
      </w:r>
      <w:r w:rsidR="00CE7CDF" w:rsidRPr="00BA72C3">
        <w:t>ing</w:t>
      </w:r>
      <w:r w:rsidRPr="00BA72C3">
        <w:t xml:space="preserve"> these caveats, hop growers are often left </w:t>
      </w:r>
      <w:r w:rsidR="009D023D">
        <w:t>with limited</w:t>
      </w:r>
      <w:r w:rsidRPr="00BA72C3">
        <w:t xml:space="preserve"> effective weed control option</w:t>
      </w:r>
      <w:r w:rsidR="009D023D">
        <w:t>s</w:t>
      </w:r>
      <w:r w:rsidRPr="00BA72C3">
        <w:t xml:space="preserve">. Herbicides are the most commonly used method of weed control in hops, and herbicides will likely </w:t>
      </w:r>
      <w:r w:rsidR="00E820CE" w:rsidRPr="00BA72C3">
        <w:t>have a part to play in</w:t>
      </w:r>
      <w:r w:rsidRPr="00BA72C3">
        <w:t xml:space="preserve"> weed management programs </w:t>
      </w:r>
      <w:r w:rsidR="00E820CE" w:rsidRPr="00BA72C3">
        <w:t>even as</w:t>
      </w:r>
      <w:r w:rsidRPr="00BA72C3">
        <w:t xml:space="preserve"> non-chemical methods are introduced.</w:t>
      </w:r>
    </w:p>
    <w:p w14:paraId="562585B9" w14:textId="423A0854" w:rsidR="00ED5C0D" w:rsidRPr="00BA72C3" w:rsidRDefault="00ED5C0D" w:rsidP="000C3F83">
      <w:r w:rsidRPr="00BA72C3">
        <w:t xml:space="preserve">Consequently, the registration of new herbicides in hops will bring </w:t>
      </w:r>
      <w:r w:rsidR="00E820CE" w:rsidRPr="00BA72C3">
        <w:t>long-</w:t>
      </w:r>
      <w:r w:rsidRPr="00BA72C3">
        <w:t xml:space="preserve">term benefits to the industry. </w:t>
      </w:r>
      <w:r w:rsidR="00E820CE" w:rsidRPr="00BA72C3">
        <w:t xml:space="preserve">One </w:t>
      </w:r>
      <w:r w:rsidRPr="00BA72C3">
        <w:t xml:space="preserve">immediate </w:t>
      </w:r>
      <w:r w:rsidR="00EC7B4D">
        <w:t>service</w:t>
      </w:r>
      <w:r w:rsidRPr="00BA72C3">
        <w:t xml:space="preserve"> to hop growers </w:t>
      </w:r>
      <w:r w:rsidR="00E820CE" w:rsidRPr="00BA72C3">
        <w:t>will be an</w:t>
      </w:r>
      <w:r w:rsidRPr="00BA72C3">
        <w:t xml:space="preserve"> increase in the diversity of herbicide site</w:t>
      </w:r>
      <w:r w:rsidR="00E820CE" w:rsidRPr="00BA72C3">
        <w:t>s</w:t>
      </w:r>
      <w:r w:rsidRPr="00BA72C3">
        <w:t xml:space="preserve">-of-action, an </w:t>
      </w:r>
      <w:r w:rsidR="00EC7B4D">
        <w:t>essential</w:t>
      </w:r>
      <w:r w:rsidRPr="00BA72C3">
        <w:t xml:space="preserve"> </w:t>
      </w:r>
      <w:r w:rsidR="009D023D">
        <w:t>factor</w:t>
      </w:r>
      <w:r w:rsidR="009D023D" w:rsidRPr="00BA72C3">
        <w:t xml:space="preserve"> </w:t>
      </w:r>
      <w:r w:rsidRPr="00BA72C3">
        <w:t>in herbicide resistance management (</w:t>
      </w:r>
      <w:proofErr w:type="spellStart"/>
      <w:r w:rsidRPr="00BA72C3">
        <w:t>Norsworthy</w:t>
      </w:r>
      <w:proofErr w:type="spellEnd"/>
      <w:r w:rsidRPr="00BA72C3">
        <w:t xml:space="preserve"> 2012). Herbicide resistance is a severe problem in multiple cropping systems. Although </w:t>
      </w:r>
      <w:r w:rsidR="00E820CE" w:rsidRPr="00BA72C3">
        <w:t>little</w:t>
      </w:r>
      <w:r w:rsidRPr="00BA72C3">
        <w:t xml:space="preserve"> has been documented in hops, resistant weeds are </w:t>
      </w:r>
      <w:r w:rsidR="007F3FD6" w:rsidRPr="00BA72C3">
        <w:t>increasing</w:t>
      </w:r>
      <w:r w:rsidR="007F3FD6">
        <w:t>ly</w:t>
      </w:r>
      <w:r w:rsidR="007F3FD6" w:rsidRPr="00BA72C3">
        <w:t xml:space="preserve"> </w:t>
      </w:r>
      <w:r w:rsidRPr="00BA72C3">
        <w:t>likely to become a</w:t>
      </w:r>
      <w:r w:rsidR="00E820CE" w:rsidRPr="00BA72C3">
        <w:t xml:space="preserve"> </w:t>
      </w:r>
      <w:r w:rsidRPr="00BA72C3">
        <w:t>problem. Herbicide-resistant populations of kochia are spreading across the US (</w:t>
      </w:r>
      <w:proofErr w:type="spellStart"/>
      <w:r w:rsidRPr="00BA72C3">
        <w:t>Westra</w:t>
      </w:r>
      <w:proofErr w:type="spellEnd"/>
      <w:r w:rsidRPr="00BA72C3">
        <w:t xml:space="preserve"> et al. 2019), and some are now documented in Western states, including resistance to herbicide groups 2, 4, 5, and 10 (Heap 20</w:t>
      </w:r>
      <w:r w:rsidR="008C70B4" w:rsidRPr="00BA72C3">
        <w:t>20</w:t>
      </w:r>
      <w:r w:rsidRPr="00BA72C3">
        <w:t xml:space="preserve">). Herbicide resistance has also been </w:t>
      </w:r>
      <w:r w:rsidR="00EC7B4D">
        <w:t>reported</w:t>
      </w:r>
      <w:r w:rsidRPr="00BA72C3">
        <w:t xml:space="preserve"> in perennial weeds like Canada thistle (Heap 20</w:t>
      </w:r>
      <w:r w:rsidR="008C70B4" w:rsidRPr="00BA72C3">
        <w:t>20</w:t>
      </w:r>
      <w:r w:rsidRPr="00BA72C3">
        <w:t xml:space="preserve">), </w:t>
      </w:r>
      <w:r w:rsidR="007F3FD6">
        <w:t>although</w:t>
      </w:r>
      <w:r w:rsidR="007F3FD6" w:rsidRPr="00BA72C3">
        <w:t xml:space="preserve"> </w:t>
      </w:r>
      <w:r w:rsidRPr="00BA72C3">
        <w:t>not in the US.</w:t>
      </w:r>
    </w:p>
    <w:p w14:paraId="51117E9A" w14:textId="580DD8E6" w:rsidR="002649C1" w:rsidRPr="00BA72C3" w:rsidRDefault="00ED5C0D" w:rsidP="000C3F83">
      <w:r w:rsidRPr="00BA72C3">
        <w:t>T</w:t>
      </w:r>
      <w:r w:rsidR="007C13EE">
        <w:t>hree</w:t>
      </w:r>
      <w:r w:rsidRPr="00BA72C3">
        <w:t xml:space="preserve"> herbicide groups were identified for this project, WSSA group 4 - synthetic auxins</w:t>
      </w:r>
      <w:r w:rsidR="007C13EE">
        <w:t xml:space="preserve">, group 14 – PPO inhibitor, and </w:t>
      </w:r>
      <w:r w:rsidRPr="00BA72C3">
        <w:t xml:space="preserve">group 27 – HPPD inhibiting herbicides. These groups were </w:t>
      </w:r>
      <w:r w:rsidR="00E820CE" w:rsidRPr="00BA72C3">
        <w:t xml:space="preserve">selected </w:t>
      </w:r>
      <w:r w:rsidRPr="00BA72C3">
        <w:t>based on their limited use in hops</w:t>
      </w:r>
      <w:r w:rsidR="00E820CE" w:rsidRPr="00BA72C3">
        <w:t>, thus</w:t>
      </w:r>
      <w:r w:rsidRPr="00BA72C3">
        <w:t xml:space="preserve"> increasing site of action diversity, the</w:t>
      </w:r>
      <w:r w:rsidR="00E820CE" w:rsidRPr="00BA72C3">
        <w:t>ir</w:t>
      </w:r>
      <w:r w:rsidRPr="00BA72C3">
        <w:t xml:space="preserve"> potential for </w:t>
      </w:r>
      <w:r w:rsidR="00BA72C3" w:rsidRPr="00BA72C3">
        <w:t>safe use in</w:t>
      </w:r>
      <w:r w:rsidRPr="00BA72C3">
        <w:t xml:space="preserve"> the crop, and the desired spectrum of controlled weeds, including the species of </w:t>
      </w:r>
      <w:r w:rsidR="00EC7B4D">
        <w:t>interest</w:t>
      </w:r>
      <w:r w:rsidRPr="00BA72C3">
        <w:t xml:space="preserve"> mentioned </w:t>
      </w:r>
      <w:r w:rsidR="00E820CE" w:rsidRPr="00BA72C3">
        <w:t>in this proposal</w:t>
      </w:r>
      <w:r w:rsidRPr="00BA72C3">
        <w:t xml:space="preserve">. </w:t>
      </w:r>
      <w:r w:rsidRPr="00BA72C3">
        <w:lastRenderedPageBreak/>
        <w:t xml:space="preserve">The active ingredients </w:t>
      </w:r>
      <w:r w:rsidR="00EC7B4D">
        <w:t xml:space="preserve">that were </w:t>
      </w:r>
      <w:r w:rsidRPr="00BA72C3">
        <w:t xml:space="preserve">identified for evaluation on group 4 are </w:t>
      </w:r>
      <w:proofErr w:type="spellStart"/>
      <w:r w:rsidRPr="00BA72C3">
        <w:t>florpyrauxifen</w:t>
      </w:r>
      <w:proofErr w:type="spellEnd"/>
      <w:r w:rsidRPr="00BA72C3">
        <w:t>-benzyl</w:t>
      </w:r>
      <w:r w:rsidR="007F3FD6">
        <w:t>;</w:t>
      </w:r>
      <w:r w:rsidR="007F3FD6" w:rsidRPr="00BA72C3">
        <w:t xml:space="preserve"> </w:t>
      </w:r>
      <w:r w:rsidR="002649C1" w:rsidRPr="00BA72C3">
        <w:t>on group 14</w:t>
      </w:r>
      <w:r w:rsidR="007F3FD6">
        <w:t>,</w:t>
      </w:r>
      <w:r w:rsidR="002649C1" w:rsidRPr="00BA72C3">
        <w:t xml:space="preserve"> tiafenacil</w:t>
      </w:r>
      <w:r w:rsidR="007F3FD6">
        <w:t>;</w:t>
      </w:r>
      <w:r w:rsidR="007F3FD6" w:rsidRPr="00BA72C3">
        <w:t xml:space="preserve"> </w:t>
      </w:r>
      <w:r w:rsidRPr="00BA72C3">
        <w:t>and on group 27</w:t>
      </w:r>
      <w:r w:rsidR="007F3FD6">
        <w:t>,</w:t>
      </w:r>
      <w:r w:rsidRPr="00BA72C3">
        <w:t xml:space="preserve"> tolpyralate</w:t>
      </w:r>
      <w:r w:rsidR="002649C1" w:rsidRPr="00BA72C3">
        <w:t>.</w:t>
      </w:r>
    </w:p>
    <w:p w14:paraId="16ABC7A4" w14:textId="77777777" w:rsidR="00E820CE" w:rsidRPr="00BA72C3" w:rsidRDefault="00E820CE" w:rsidP="000C3F83"/>
    <w:p w14:paraId="43A55219" w14:textId="0F62DEF4" w:rsidR="00382599" w:rsidRPr="00BA72C3" w:rsidRDefault="002649C1" w:rsidP="000C3F83">
      <w:r w:rsidRPr="00BA72C3">
        <w:t>Tiafenacil is a new protoporphyrinogen IX oxidase (PPO), or WSSA Group 14 herbicide. It is a</w:t>
      </w:r>
      <w:r w:rsidR="00E820CE" w:rsidRPr="00BA72C3">
        <w:t xml:space="preserve"> post-emergence</w:t>
      </w:r>
      <w:r w:rsidRPr="00BA72C3">
        <w:t xml:space="preserve"> </w:t>
      </w:r>
      <w:r w:rsidR="00E820CE" w:rsidRPr="00BA72C3">
        <w:t>(</w:t>
      </w:r>
      <w:r w:rsidRPr="00BA72C3">
        <w:t>POST</w:t>
      </w:r>
      <w:r w:rsidR="00E820CE" w:rsidRPr="00BA72C3">
        <w:t>)</w:t>
      </w:r>
      <w:r w:rsidRPr="00BA72C3">
        <w:t xml:space="preserve"> herbicide that controls grasses and broadleaves </w:t>
      </w:r>
      <w:r w:rsidR="00E820CE" w:rsidRPr="00BA72C3">
        <w:t>with reduced</w:t>
      </w:r>
      <w:r w:rsidRPr="00BA72C3">
        <w:t xml:space="preserve"> toxicity to humans. Tiafenacil is replacing paraquat in countries like Korea, where paraquat is banned </w:t>
      </w:r>
      <w:r w:rsidRPr="00BA72C3">
        <w:fldChar w:fldCharType="begin"/>
      </w:r>
      <w:r w:rsidRPr="00BA72C3">
        <w:instrText xml:space="preserve"> ADDIN EN.CITE &lt;EndNote&gt;&lt;Cite&gt;&lt;Author&gt;Park&lt;/Author&gt;&lt;Year&gt;2018&lt;/Year&gt;&lt;RecNum&gt;1585&lt;/RecNum&gt;&lt;DisplayText&gt;(Park et al. 2018)&lt;/DisplayText&gt;&lt;record&gt;&lt;rec-number&gt;1585&lt;/rec-number&gt;&lt;foreign-keys&gt;&lt;key app="EN" db-id="90p90tfe2drwpveswrtx2wdndte5ess5awpw" timestamp="1598567096" guid="d7be06b5-f5d5-4fd2-b459-5cc7339d3306"&gt;1585&lt;/key&gt;&lt;/foreign-keys&gt;&lt;ref-type name="Journal Article"&gt;17&lt;/ref-type&gt;&lt;contributors&gt;&lt;authors&gt;&lt;author&gt;Park, Joonghyuk&lt;/author&gt;&lt;author&gt;Ahn, Young Ock&lt;/author&gt;&lt;author&gt;Nam, Jeong-Won&lt;/author&gt;&lt;author&gt;Hong, Myoung-Ki&lt;/author&gt;&lt;author&gt;Song, Namsook&lt;/author&gt;&lt;author&gt;Kim, Taejoon&lt;/author&gt;&lt;author&gt;Yu, Gyung-Hee&lt;/author&gt;&lt;author&gt;Sung, Soon-Kee&lt;/author&gt;&lt;/authors&gt;&lt;/contributors&gt;&lt;titles&gt;&lt;title&gt;Biochemical and physiological mode of action of tiafenacil, a new protoporphyrinogen IX oxidase-inhibiting herbicide&lt;/title&gt;&lt;secondary-title&gt;Pesticide biochemistry and physiology&lt;/secondary-title&gt;&lt;/titles&gt;&lt;periodical&gt;&lt;full-title&gt;Pesticide Biochemistry and Physiology&lt;/full-title&gt;&lt;/periodical&gt;&lt;pages&gt;38-44&lt;/pages&gt;&lt;volume&gt;152&lt;/volume&gt;&lt;dates&gt;&lt;year&gt;2018&lt;/year&gt;&lt;/dates&gt;&lt;isbn&gt;0048-3575&lt;/isbn&gt;&lt;urls&gt;&lt;/urls&gt;&lt;/record&gt;&lt;/Cite&gt;&lt;/EndNote&gt;</w:instrText>
      </w:r>
      <w:r w:rsidRPr="00BA72C3">
        <w:fldChar w:fldCharType="separate"/>
      </w:r>
      <w:r w:rsidRPr="00BA72C3">
        <w:rPr>
          <w:noProof/>
        </w:rPr>
        <w:t>(Park et al. 2018)</w:t>
      </w:r>
      <w:r w:rsidRPr="00BA72C3">
        <w:fldChar w:fldCharType="end"/>
      </w:r>
      <w:r w:rsidRPr="00BA72C3">
        <w:t xml:space="preserve">. Although group 14 herbicides are registered for hop (e.g., Aim </w:t>
      </w:r>
      <w:r w:rsidR="00D8737F" w:rsidRPr="00BA72C3">
        <w:t>(</w:t>
      </w:r>
      <w:r w:rsidRPr="00BA72C3">
        <w:t>carfentrazone</w:t>
      </w:r>
      <w:r w:rsidR="00D8737F" w:rsidRPr="00BA72C3">
        <w:t>)</w:t>
      </w:r>
      <w:r w:rsidRPr="00BA72C3">
        <w:t xml:space="preserve">), tiafenacil is active in grasses as POST, thus </w:t>
      </w:r>
      <w:r w:rsidR="00D8737F" w:rsidRPr="00BA72C3">
        <w:t>contributing to</w:t>
      </w:r>
      <w:r w:rsidRPr="00BA72C3">
        <w:t xml:space="preserve"> control of such tenacious weeds as Italian ryegrass. Tiafenacil was safely applied to 6-ft tall </w:t>
      </w:r>
      <w:r w:rsidR="00EC7B4D">
        <w:t>'</w:t>
      </w:r>
      <w:r w:rsidRPr="00BA72C3">
        <w:t>Meridian</w:t>
      </w:r>
      <w:r w:rsidR="00EC7B4D">
        <w:t>'</w:t>
      </w:r>
      <w:r w:rsidRPr="00BA72C3">
        <w:t xml:space="preserve"> and </w:t>
      </w:r>
      <w:r w:rsidR="00EC7B4D">
        <w:t>'</w:t>
      </w:r>
      <w:r w:rsidRPr="00BA72C3">
        <w:t xml:space="preserve">Mount </w:t>
      </w:r>
      <w:r w:rsidR="00EC7B4D">
        <w:t>Hood'</w:t>
      </w:r>
      <w:r w:rsidRPr="00BA72C3">
        <w:t xml:space="preserve"> hops </w:t>
      </w:r>
      <w:r w:rsidR="007C13EE">
        <w:t xml:space="preserve">in 2020, </w:t>
      </w:r>
      <w:r w:rsidRPr="00BA72C3">
        <w:t>at a rate 4 times higher than the proposed label rate (50 g ai ha</w:t>
      </w:r>
      <w:r w:rsidRPr="00BA72C3">
        <w:rPr>
          <w:vertAlign w:val="superscript"/>
        </w:rPr>
        <w:t>-1</w:t>
      </w:r>
      <w:r w:rsidRPr="00BA72C3">
        <w:t xml:space="preserve">). </w:t>
      </w:r>
      <w:r w:rsidR="007C13EE">
        <w:t xml:space="preserve">Results are promising for 2021 in Cascade and Nugget variety. </w:t>
      </w:r>
      <w:r w:rsidRPr="00BA72C3">
        <w:t>Tolpyralate is an herbicide in group 27, an HPPD inhibitor</w:t>
      </w:r>
      <w:r w:rsidR="00D8737F" w:rsidRPr="00BA72C3">
        <w:t>; this</w:t>
      </w:r>
      <w:r w:rsidRPr="00BA72C3">
        <w:t xml:space="preserve"> herbicide group </w:t>
      </w:r>
      <w:r w:rsidR="00D8737F" w:rsidRPr="00BA72C3">
        <w:t xml:space="preserve">is </w:t>
      </w:r>
      <w:r w:rsidRPr="00BA72C3">
        <w:t xml:space="preserve">not currently labeled </w:t>
      </w:r>
      <w:r w:rsidR="007F3FD6">
        <w:t>for</w:t>
      </w:r>
      <w:r w:rsidR="007F3FD6" w:rsidRPr="00BA72C3">
        <w:t xml:space="preserve"> </w:t>
      </w:r>
      <w:r w:rsidRPr="00BA72C3">
        <w:t xml:space="preserve">hops. It </w:t>
      </w:r>
      <w:r w:rsidR="007F3FD6">
        <w:t>is active against</w:t>
      </w:r>
      <w:r w:rsidRPr="00BA72C3">
        <w:t xml:space="preserve"> broadleaves, grasses, and Canada thistle. Tolpyralate was safe when applied to hops at 12- to 14-ft, or six- to </w:t>
      </w:r>
      <w:r w:rsidR="00EC7B4D">
        <w:t>eight weeks</w:t>
      </w:r>
      <w:r w:rsidRPr="00BA72C3">
        <w:t xml:space="preserve"> after training. Early applications did not injure to the crop when tolpyralate was applied in tank-mixture with tiafenacil. Florpyrauxifen-benzyl</w:t>
      </w:r>
      <w:r w:rsidR="00116E99" w:rsidRPr="00BA72C3">
        <w:t xml:space="preserve"> is a synthetic auxin with low volatility and low toxicity</w:t>
      </w:r>
      <w:r w:rsidR="00D8737F" w:rsidRPr="00BA72C3">
        <w:t xml:space="preserve"> to humans</w:t>
      </w:r>
      <w:r w:rsidR="00116E99" w:rsidRPr="00BA72C3">
        <w:t xml:space="preserve">. It </w:t>
      </w:r>
      <w:r w:rsidR="00D8737F" w:rsidRPr="00BA72C3">
        <w:t>is active against</w:t>
      </w:r>
      <w:r w:rsidR="00116E99" w:rsidRPr="00BA72C3">
        <w:t xml:space="preserve"> sedges, grasses, and broadleaves</w:t>
      </w:r>
      <w:r w:rsidR="00EC7B4D">
        <w:t>,</w:t>
      </w:r>
      <w:r w:rsidR="00116E99" w:rsidRPr="00BA72C3">
        <w:t xml:space="preserve"> including Canada thistle.</w:t>
      </w:r>
      <w:r w:rsidR="0078529A" w:rsidRPr="00BA72C3">
        <w:t xml:space="preserve"> Our results indicate that application </w:t>
      </w:r>
      <w:r w:rsidR="007F3FD6">
        <w:t xml:space="preserve">of </w:t>
      </w:r>
      <w:proofErr w:type="spellStart"/>
      <w:r w:rsidR="007F3FD6">
        <w:t>f</w:t>
      </w:r>
      <w:r w:rsidR="007F3FD6" w:rsidRPr="00BA72C3">
        <w:t>lorpyrauxifen</w:t>
      </w:r>
      <w:proofErr w:type="spellEnd"/>
      <w:r w:rsidR="007F3FD6" w:rsidRPr="00BA72C3">
        <w:t xml:space="preserve">-benzyl </w:t>
      </w:r>
      <w:r w:rsidR="0078529A" w:rsidRPr="00BA72C3">
        <w:t xml:space="preserve">to hop bines over 10ft tall </w:t>
      </w:r>
      <w:r w:rsidR="00A833E1">
        <w:t>is</w:t>
      </w:r>
      <w:r w:rsidR="0078529A" w:rsidRPr="00BA72C3">
        <w:t xml:space="preserve"> safer than</w:t>
      </w:r>
      <w:r w:rsidR="007F3FD6">
        <w:t xml:space="preserve"> to</w:t>
      </w:r>
      <w:r w:rsidR="00D8737F" w:rsidRPr="00BA72C3">
        <w:t xml:space="preserve"> bines</w:t>
      </w:r>
      <w:r w:rsidR="0078529A" w:rsidRPr="00BA72C3">
        <w:t xml:space="preserve"> </w:t>
      </w:r>
      <w:r w:rsidR="00D8737F" w:rsidRPr="00BA72C3">
        <w:t xml:space="preserve">under </w:t>
      </w:r>
      <w:r w:rsidR="0078529A" w:rsidRPr="00BA72C3">
        <w:t xml:space="preserve">6ft. </w:t>
      </w:r>
      <w:r w:rsidR="00D8737F" w:rsidRPr="00BA72C3">
        <w:t>Additional field r</w:t>
      </w:r>
      <w:r w:rsidR="00ED5C0D" w:rsidRPr="00BA72C3">
        <w:t xml:space="preserve">esearch is </w:t>
      </w:r>
      <w:r w:rsidR="007F3FD6">
        <w:t>requir</w:t>
      </w:r>
      <w:r w:rsidR="007F3FD6" w:rsidRPr="00BA72C3">
        <w:t xml:space="preserve">ed </w:t>
      </w:r>
      <w:r w:rsidR="00ED5C0D" w:rsidRPr="00BA72C3">
        <w:t xml:space="preserve">to </w:t>
      </w:r>
      <w:r w:rsidR="0078529A" w:rsidRPr="00BA72C3">
        <w:t>validate the 202</w:t>
      </w:r>
      <w:r w:rsidR="00126276">
        <w:t>0 and 2021</w:t>
      </w:r>
      <w:r w:rsidR="0078529A" w:rsidRPr="00BA72C3">
        <w:t xml:space="preserve"> findings</w:t>
      </w:r>
      <w:r w:rsidR="00ED5C0D" w:rsidRPr="00BA72C3">
        <w:t xml:space="preserve">. </w:t>
      </w:r>
      <w:r w:rsidR="007F3FD6">
        <w:t>C</w:t>
      </w:r>
      <w:r w:rsidR="00ED5C0D" w:rsidRPr="00BA72C3">
        <w:t xml:space="preserve">rop safety evaluation will support </w:t>
      </w:r>
      <w:r w:rsidR="00A833E1">
        <w:t xml:space="preserve">the </w:t>
      </w:r>
      <w:r w:rsidR="00ED5C0D" w:rsidRPr="00BA72C3">
        <w:t xml:space="preserve">registrations of the active ingredients identified as suitable </w:t>
      </w:r>
      <w:r w:rsidR="007F3FD6">
        <w:t>for</w:t>
      </w:r>
      <w:r w:rsidR="007F3FD6" w:rsidRPr="00BA72C3">
        <w:t xml:space="preserve"> </w:t>
      </w:r>
      <w:r w:rsidR="00ED5C0D" w:rsidRPr="00BA72C3">
        <w:t>hops. This project will support the installation of a research hop yard for future weed management studies at</w:t>
      </w:r>
      <w:r w:rsidR="007F3FD6">
        <w:t xml:space="preserve"> Oregon State University</w:t>
      </w:r>
      <w:r w:rsidR="00ED5C0D" w:rsidRPr="00BA72C3">
        <w:t xml:space="preserve"> Lewis Brown</w:t>
      </w:r>
      <w:r w:rsidR="007F3FD6">
        <w:t xml:space="preserve"> Research</w:t>
      </w:r>
      <w:r w:rsidR="00ED5C0D" w:rsidRPr="00BA72C3">
        <w:t xml:space="preserve"> </w:t>
      </w:r>
      <w:r w:rsidR="00F65E7B" w:rsidRPr="00BA72C3">
        <w:t xml:space="preserve">Farm and represents </w:t>
      </w:r>
      <w:r w:rsidR="00A833E1">
        <w:t xml:space="preserve">the </w:t>
      </w:r>
      <w:r w:rsidR="00F65E7B" w:rsidRPr="00BA72C3">
        <w:t>initiation of</w:t>
      </w:r>
      <w:r w:rsidR="00ED5C0D" w:rsidRPr="00BA72C3">
        <w:t xml:space="preserve"> a long-term effort to identify new herbicides suitable for hops in the United States. The proposed work will be conducted in collaboration with commercial growers in Oregon and other industry members. </w:t>
      </w:r>
    </w:p>
    <w:p w14:paraId="392314BD" w14:textId="77777777" w:rsidR="00ED5C0D" w:rsidRPr="00BA72C3" w:rsidRDefault="00ED5C0D" w:rsidP="00ED5C0D">
      <w:pPr>
        <w:rPr>
          <w:bCs/>
          <w:noProof/>
        </w:rPr>
      </w:pPr>
    </w:p>
    <w:tbl>
      <w:tblPr>
        <w:tblStyle w:val="GridTable2-Accent3"/>
        <w:tblW w:w="5000" w:type="pct"/>
        <w:tblLook w:val="04A0" w:firstRow="1" w:lastRow="0" w:firstColumn="1" w:lastColumn="0" w:noHBand="0" w:noVBand="1"/>
      </w:tblPr>
      <w:tblGrid>
        <w:gridCol w:w="2082"/>
        <w:gridCol w:w="1697"/>
        <w:gridCol w:w="1562"/>
        <w:gridCol w:w="1683"/>
        <w:gridCol w:w="1127"/>
        <w:gridCol w:w="1097"/>
        <w:gridCol w:w="832"/>
      </w:tblGrid>
      <w:tr w:rsidR="00D72C1D" w:rsidRPr="00BA72C3" w14:paraId="4447058D" w14:textId="77777777" w:rsidTr="003825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EF83CF2" w14:textId="1016A19C" w:rsidR="00D72C1D" w:rsidRPr="00BA72C3" w:rsidRDefault="00D72C1D" w:rsidP="00FB022B">
            <w:pPr>
              <w:tabs>
                <w:tab w:val="left" w:pos="990"/>
              </w:tabs>
              <w:rPr>
                <w:b w:val="0"/>
                <w:bCs w:val="0"/>
                <w:noProof/>
                <w:w w:val="110"/>
              </w:rPr>
            </w:pPr>
            <w:r w:rsidRPr="00BA72C3">
              <w:rPr>
                <w:b w:val="0"/>
                <w:bCs w:val="0"/>
                <w:noProof/>
                <w:w w:val="110"/>
              </w:rPr>
              <w:t>Table 1. List of herbicides labeled in hops in Idaho, Oregon, and Washington in 20</w:t>
            </w:r>
            <w:r w:rsidR="00FB022B" w:rsidRPr="00BA72C3">
              <w:rPr>
                <w:b w:val="0"/>
                <w:bCs w:val="0"/>
                <w:noProof/>
                <w:w w:val="110"/>
              </w:rPr>
              <w:t>20</w:t>
            </w:r>
            <w:r w:rsidRPr="00BA72C3">
              <w:rPr>
                <w:b w:val="0"/>
                <w:bCs w:val="0"/>
                <w:noProof/>
                <w:w w:val="110"/>
              </w:rPr>
              <w:t>.</w:t>
            </w:r>
            <w:r w:rsidR="00CE7CDF" w:rsidRPr="00BA72C3">
              <w:rPr>
                <w:b w:val="0"/>
                <w:bCs w:val="0"/>
                <w:noProof/>
                <w:w w:val="110"/>
              </w:rPr>
              <w:t xml:space="preserve"> </w:t>
            </w:r>
          </w:p>
        </w:tc>
      </w:tr>
      <w:tr w:rsidR="00382599" w:rsidRPr="00BA72C3" w14:paraId="3E6FADA6"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73ACD2F4" w14:textId="77777777" w:rsidR="00D72C1D" w:rsidRPr="00BA72C3" w:rsidRDefault="00D72C1D" w:rsidP="00FB022B">
            <w:pPr>
              <w:tabs>
                <w:tab w:val="left" w:pos="990"/>
              </w:tabs>
              <w:rPr>
                <w:b w:val="0"/>
                <w:bCs w:val="0"/>
                <w:noProof/>
                <w:w w:val="110"/>
              </w:rPr>
            </w:pPr>
            <w:r w:rsidRPr="00BA72C3">
              <w:rPr>
                <w:b w:val="0"/>
                <w:bCs w:val="0"/>
                <w:noProof/>
                <w:w w:val="110"/>
              </w:rPr>
              <w:t>Active Ingredient (WSSA group)</w:t>
            </w:r>
            <w:r w:rsidRPr="00BA72C3">
              <w:rPr>
                <w:b w:val="0"/>
                <w:bCs w:val="0"/>
                <w:noProof/>
                <w:w w:val="110"/>
                <w:vertAlign w:val="superscript"/>
              </w:rPr>
              <w:t>1</w:t>
            </w:r>
          </w:p>
          <w:p w14:paraId="4825C796" w14:textId="77777777" w:rsidR="00D72C1D" w:rsidRPr="00BA72C3" w:rsidRDefault="00D72C1D" w:rsidP="00FB022B">
            <w:pPr>
              <w:tabs>
                <w:tab w:val="left" w:pos="990"/>
              </w:tabs>
              <w:rPr>
                <w:b w:val="0"/>
                <w:bCs w:val="0"/>
                <w:noProof/>
                <w:w w:val="110"/>
              </w:rPr>
            </w:pPr>
            <w:r w:rsidRPr="00BA72C3">
              <w:rPr>
                <w:b w:val="0"/>
                <w:bCs w:val="0"/>
                <w:noProof/>
                <w:w w:val="110"/>
              </w:rPr>
              <w:t>[trade name]</w:t>
            </w:r>
          </w:p>
        </w:tc>
        <w:tc>
          <w:tcPr>
            <w:tcW w:w="842" w:type="pct"/>
          </w:tcPr>
          <w:p w14:paraId="6C66A38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 xml:space="preserve"> Rate </w:t>
            </w:r>
          </w:p>
          <w:p w14:paraId="389C4A4F"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(product/A)</w:t>
            </w:r>
          </w:p>
        </w:tc>
        <w:tc>
          <w:tcPr>
            <w:tcW w:w="775" w:type="pct"/>
          </w:tcPr>
          <w:p w14:paraId="5EDB91A3"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Max use in 12 month period (product/A)</w:t>
            </w:r>
          </w:p>
        </w:tc>
        <w:tc>
          <w:tcPr>
            <w:tcW w:w="835" w:type="pct"/>
          </w:tcPr>
          <w:p w14:paraId="612C7009" w14:textId="77777777" w:rsidR="00382599"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Application per season/ Reappl</w:t>
            </w:r>
            <w:r w:rsidR="00382599" w:rsidRPr="00BA72C3">
              <w:rPr>
                <w:noProof/>
                <w:w w:val="110"/>
              </w:rPr>
              <w:t>ication</w:t>
            </w:r>
          </w:p>
          <w:p w14:paraId="286F0B5C" w14:textId="29774F5D"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interval</w:t>
            </w:r>
          </w:p>
        </w:tc>
        <w:tc>
          <w:tcPr>
            <w:tcW w:w="559" w:type="pct"/>
          </w:tcPr>
          <w:p w14:paraId="4713868A"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Minimal Age (Month)</w:t>
            </w:r>
          </w:p>
        </w:tc>
        <w:tc>
          <w:tcPr>
            <w:tcW w:w="544" w:type="pct"/>
          </w:tcPr>
          <w:p w14:paraId="531D25DD"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Replant</w:t>
            </w:r>
          </w:p>
          <w:p w14:paraId="20425EF0"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(Month)</w:t>
            </w:r>
          </w:p>
        </w:tc>
        <w:tc>
          <w:tcPr>
            <w:tcW w:w="413" w:type="pct"/>
          </w:tcPr>
          <w:p w14:paraId="2D40D3E3"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PHI</w:t>
            </w:r>
          </w:p>
          <w:p w14:paraId="2B0D75DF"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(Day)</w:t>
            </w:r>
          </w:p>
        </w:tc>
      </w:tr>
      <w:tr w:rsidR="00D72C1D" w:rsidRPr="00BA72C3" w14:paraId="1D773C5B" w14:textId="77777777" w:rsidTr="00382599">
        <w:tc>
          <w:tcPr>
            <w:cnfStyle w:val="001000000000" w:firstRow="0" w:lastRow="0" w:firstColumn="1" w:lastColumn="0" w:oddVBand="0" w:evenVBand="0" w:oddHBand="0" w:evenHBand="0" w:firstRowFirstColumn="0" w:firstRowLastColumn="0" w:lastRowFirstColumn="0" w:lastRowLastColumn="0"/>
            <w:tcW w:w="5000" w:type="pct"/>
            <w:gridSpan w:val="7"/>
          </w:tcPr>
          <w:p w14:paraId="5D6597A3" w14:textId="77777777" w:rsidR="00D72C1D" w:rsidRPr="00BA72C3" w:rsidRDefault="00D72C1D" w:rsidP="00FB022B">
            <w:pPr>
              <w:tabs>
                <w:tab w:val="left" w:pos="990"/>
              </w:tabs>
              <w:rPr>
                <w:b w:val="0"/>
                <w:bCs w:val="0"/>
                <w:noProof/>
                <w:w w:val="110"/>
              </w:rPr>
            </w:pPr>
            <w:r w:rsidRPr="00BA72C3">
              <w:rPr>
                <w:b w:val="0"/>
                <w:bCs w:val="0"/>
                <w:noProof/>
                <w:w w:val="110"/>
              </w:rPr>
              <w:t>Preemergence</w:t>
            </w:r>
          </w:p>
        </w:tc>
      </w:tr>
      <w:tr w:rsidR="00382599" w:rsidRPr="00BA72C3" w14:paraId="1B6D0528"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0253375E" w14:textId="77777777" w:rsidR="00D72C1D" w:rsidRPr="00BA72C3" w:rsidRDefault="00D72C1D" w:rsidP="00FB022B">
            <w:pPr>
              <w:tabs>
                <w:tab w:val="left" w:pos="990"/>
              </w:tabs>
              <w:rPr>
                <w:b w:val="0"/>
                <w:bCs w:val="0"/>
                <w:noProof/>
                <w:w w:val="110"/>
              </w:rPr>
            </w:pPr>
            <w:r w:rsidRPr="00BA72C3">
              <w:rPr>
                <w:b w:val="0"/>
                <w:bCs w:val="0"/>
                <w:noProof/>
                <w:w w:val="110"/>
              </w:rPr>
              <w:t>Dimethenamid (15)</w:t>
            </w:r>
          </w:p>
          <w:p w14:paraId="4D7FCF7D" w14:textId="77777777" w:rsidR="00D72C1D" w:rsidRPr="00BA72C3" w:rsidRDefault="00D72C1D" w:rsidP="00FB022B">
            <w:pPr>
              <w:tabs>
                <w:tab w:val="left" w:pos="990"/>
              </w:tabs>
              <w:rPr>
                <w:b w:val="0"/>
                <w:bCs w:val="0"/>
                <w:noProof/>
                <w:w w:val="110"/>
              </w:rPr>
            </w:pPr>
            <w:r w:rsidRPr="00BA72C3">
              <w:rPr>
                <w:b w:val="0"/>
                <w:bCs w:val="0"/>
                <w:noProof/>
                <w:w w:val="110"/>
              </w:rPr>
              <w:t>[Outlook]</w:t>
            </w:r>
          </w:p>
        </w:tc>
        <w:tc>
          <w:tcPr>
            <w:tcW w:w="842" w:type="pct"/>
          </w:tcPr>
          <w:p w14:paraId="3B47CD0C"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0.56 to 1 lb ai</w:t>
            </w:r>
          </w:p>
          <w:p w14:paraId="4C921FA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(12 to 21 oz)</w:t>
            </w:r>
          </w:p>
        </w:tc>
        <w:tc>
          <w:tcPr>
            <w:tcW w:w="775" w:type="pct"/>
          </w:tcPr>
          <w:p w14:paraId="4DA7FB0C"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lb ai</w:t>
            </w:r>
          </w:p>
          <w:p w14:paraId="1CD4F86D" w14:textId="5064FF6E"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(21 oz)</w:t>
            </w:r>
          </w:p>
        </w:tc>
        <w:tc>
          <w:tcPr>
            <w:tcW w:w="835" w:type="pct"/>
          </w:tcPr>
          <w:p w14:paraId="314B2E43"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 (NA)</w:t>
            </w:r>
          </w:p>
        </w:tc>
        <w:tc>
          <w:tcPr>
            <w:tcW w:w="559" w:type="pct"/>
          </w:tcPr>
          <w:p w14:paraId="2C3A90D0"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w:t>
            </w:r>
          </w:p>
        </w:tc>
        <w:tc>
          <w:tcPr>
            <w:tcW w:w="544" w:type="pct"/>
          </w:tcPr>
          <w:p w14:paraId="5DD2588C"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6 to 9</w:t>
            </w:r>
          </w:p>
        </w:tc>
        <w:tc>
          <w:tcPr>
            <w:tcW w:w="413" w:type="pct"/>
          </w:tcPr>
          <w:p w14:paraId="699BDCA8"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60</w:t>
            </w:r>
          </w:p>
        </w:tc>
      </w:tr>
      <w:tr w:rsidR="00382599" w:rsidRPr="00BA72C3" w14:paraId="7FEFE35C"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406B8721" w14:textId="77777777" w:rsidR="00D72C1D" w:rsidRPr="00BA72C3" w:rsidRDefault="00D72C1D" w:rsidP="00FB022B">
            <w:pPr>
              <w:tabs>
                <w:tab w:val="left" w:pos="990"/>
              </w:tabs>
              <w:rPr>
                <w:b w:val="0"/>
                <w:bCs w:val="0"/>
                <w:noProof/>
                <w:w w:val="110"/>
              </w:rPr>
            </w:pPr>
            <w:r w:rsidRPr="00BA72C3">
              <w:rPr>
                <w:b w:val="0"/>
                <w:bCs w:val="0"/>
                <w:noProof/>
                <w:w w:val="110"/>
              </w:rPr>
              <w:t>Flumioxazin (14)</w:t>
            </w:r>
          </w:p>
          <w:p w14:paraId="782BCE48" w14:textId="77777777" w:rsidR="00D72C1D" w:rsidRPr="00BA72C3" w:rsidRDefault="00D72C1D" w:rsidP="00FB022B">
            <w:pPr>
              <w:tabs>
                <w:tab w:val="left" w:pos="990"/>
              </w:tabs>
              <w:rPr>
                <w:b w:val="0"/>
                <w:bCs w:val="0"/>
                <w:noProof/>
                <w:w w:val="110"/>
              </w:rPr>
            </w:pPr>
            <w:r w:rsidRPr="00BA72C3">
              <w:rPr>
                <w:b w:val="0"/>
                <w:bCs w:val="0"/>
                <w:noProof/>
                <w:w w:val="110"/>
              </w:rPr>
              <w:t>[Chateau SW]</w:t>
            </w:r>
          </w:p>
        </w:tc>
        <w:tc>
          <w:tcPr>
            <w:tcW w:w="842" w:type="pct"/>
          </w:tcPr>
          <w:p w14:paraId="4395A36E"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0.19 lb ai</w:t>
            </w:r>
          </w:p>
          <w:p w14:paraId="5EAB95C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(6 oz/A)</w:t>
            </w:r>
          </w:p>
        </w:tc>
        <w:tc>
          <w:tcPr>
            <w:tcW w:w="775" w:type="pct"/>
          </w:tcPr>
          <w:p w14:paraId="779E569F"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0.19 lb ai</w:t>
            </w:r>
          </w:p>
          <w:p w14:paraId="106E15B7"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(6 oz/A)</w:t>
            </w:r>
          </w:p>
        </w:tc>
        <w:tc>
          <w:tcPr>
            <w:tcW w:w="835" w:type="pct"/>
          </w:tcPr>
          <w:p w14:paraId="6A43BC02"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59" w:type="pct"/>
          </w:tcPr>
          <w:p w14:paraId="43909136"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44" w:type="pct"/>
          </w:tcPr>
          <w:p w14:paraId="1C1FA175"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12</w:t>
            </w:r>
          </w:p>
        </w:tc>
        <w:tc>
          <w:tcPr>
            <w:tcW w:w="413" w:type="pct"/>
          </w:tcPr>
          <w:p w14:paraId="0481BB02"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30</w:t>
            </w:r>
          </w:p>
        </w:tc>
      </w:tr>
      <w:tr w:rsidR="00382599" w:rsidRPr="00BA72C3" w14:paraId="174CB411"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30F243FF" w14:textId="77777777" w:rsidR="00D72C1D" w:rsidRPr="00BA72C3" w:rsidRDefault="00D72C1D" w:rsidP="00FB022B">
            <w:pPr>
              <w:tabs>
                <w:tab w:val="left" w:pos="990"/>
              </w:tabs>
              <w:rPr>
                <w:b w:val="0"/>
                <w:bCs w:val="0"/>
                <w:noProof/>
                <w:w w:val="110"/>
              </w:rPr>
            </w:pPr>
            <w:r w:rsidRPr="00BA72C3">
              <w:rPr>
                <w:b w:val="0"/>
                <w:bCs w:val="0"/>
                <w:noProof/>
                <w:w w:val="110"/>
              </w:rPr>
              <w:t>Indaziflam (29)</w:t>
            </w:r>
          </w:p>
          <w:p w14:paraId="592765FA" w14:textId="77777777" w:rsidR="00D72C1D" w:rsidRPr="00BA72C3" w:rsidRDefault="00D72C1D" w:rsidP="00FB022B">
            <w:pPr>
              <w:tabs>
                <w:tab w:val="left" w:pos="990"/>
              </w:tabs>
              <w:rPr>
                <w:b w:val="0"/>
                <w:bCs w:val="0"/>
                <w:noProof/>
                <w:w w:val="110"/>
              </w:rPr>
            </w:pPr>
            <w:r w:rsidRPr="00BA72C3">
              <w:rPr>
                <w:b w:val="0"/>
                <w:bCs w:val="0"/>
                <w:noProof/>
                <w:w w:val="110"/>
              </w:rPr>
              <w:t>[Alion]</w:t>
            </w:r>
          </w:p>
        </w:tc>
        <w:tc>
          <w:tcPr>
            <w:tcW w:w="842" w:type="pct"/>
          </w:tcPr>
          <w:p w14:paraId="57800794"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0.045 to 0.065 lb ai (3.5 to 5 fl oz)</w:t>
            </w:r>
          </w:p>
        </w:tc>
        <w:tc>
          <w:tcPr>
            <w:tcW w:w="775" w:type="pct"/>
          </w:tcPr>
          <w:p w14:paraId="65AF97D9"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0.09 to 0.13 lb ai</w:t>
            </w:r>
          </w:p>
          <w:p w14:paraId="1C614CEE"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(7 to 10 fl oz)</w:t>
            </w:r>
          </w:p>
        </w:tc>
        <w:tc>
          <w:tcPr>
            <w:tcW w:w="835" w:type="pct"/>
          </w:tcPr>
          <w:p w14:paraId="5BD10BEB"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 /(6 months)</w:t>
            </w:r>
          </w:p>
        </w:tc>
        <w:tc>
          <w:tcPr>
            <w:tcW w:w="559" w:type="pct"/>
          </w:tcPr>
          <w:p w14:paraId="7DC31ED1"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12</w:t>
            </w:r>
          </w:p>
        </w:tc>
        <w:tc>
          <w:tcPr>
            <w:tcW w:w="544" w:type="pct"/>
          </w:tcPr>
          <w:p w14:paraId="4182401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413" w:type="pct"/>
          </w:tcPr>
          <w:p w14:paraId="3CE0CE07"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r>
      <w:tr w:rsidR="00FB022B" w:rsidRPr="00BA72C3" w14:paraId="70CDFF61"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5EE358B3" w14:textId="77777777" w:rsidR="00FB022B" w:rsidRPr="00BA72C3" w:rsidRDefault="00FB022B" w:rsidP="00FB022B">
            <w:pPr>
              <w:tabs>
                <w:tab w:val="left" w:pos="990"/>
              </w:tabs>
              <w:rPr>
                <w:noProof/>
                <w:w w:val="110"/>
              </w:rPr>
            </w:pPr>
            <w:r w:rsidRPr="00BA72C3">
              <w:rPr>
                <w:b w:val="0"/>
                <w:bCs w:val="0"/>
                <w:noProof/>
                <w:w w:val="110"/>
              </w:rPr>
              <w:t>Isoxaben (21)</w:t>
            </w:r>
          </w:p>
          <w:p w14:paraId="7BF82EFD" w14:textId="2D7EE110" w:rsidR="00FB022B" w:rsidRPr="00BA72C3" w:rsidRDefault="00FB022B" w:rsidP="00FB022B">
            <w:pPr>
              <w:tabs>
                <w:tab w:val="left" w:pos="990"/>
              </w:tabs>
              <w:rPr>
                <w:b w:val="0"/>
                <w:bCs w:val="0"/>
                <w:noProof/>
                <w:w w:val="110"/>
              </w:rPr>
            </w:pPr>
            <w:r w:rsidRPr="00BA72C3">
              <w:rPr>
                <w:b w:val="0"/>
                <w:bCs w:val="0"/>
                <w:noProof/>
                <w:w w:val="110"/>
              </w:rPr>
              <w:t>[Trellis]</w:t>
            </w:r>
          </w:p>
        </w:tc>
        <w:tc>
          <w:tcPr>
            <w:tcW w:w="842" w:type="pct"/>
          </w:tcPr>
          <w:p w14:paraId="427AF94D" w14:textId="77777777"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0.5 to 1 lb ai</w:t>
            </w:r>
          </w:p>
          <w:p w14:paraId="7B2F9851" w14:textId="2A9215A5"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(16 – 32 fl oz)</w:t>
            </w:r>
          </w:p>
        </w:tc>
        <w:tc>
          <w:tcPr>
            <w:tcW w:w="775" w:type="pct"/>
          </w:tcPr>
          <w:p w14:paraId="123DC293" w14:textId="77777777"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 lb ai</w:t>
            </w:r>
          </w:p>
          <w:p w14:paraId="6BF357BB" w14:textId="7C305561"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(32 fl oz)</w:t>
            </w:r>
          </w:p>
        </w:tc>
        <w:tc>
          <w:tcPr>
            <w:tcW w:w="835" w:type="pct"/>
          </w:tcPr>
          <w:p w14:paraId="717987F5" w14:textId="49BA3BC0"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2</w:t>
            </w:r>
            <w:r w:rsidR="006D253E" w:rsidRPr="00BA72C3">
              <w:rPr>
                <w:noProof/>
                <w:w w:val="110"/>
              </w:rPr>
              <w:t>/-</w:t>
            </w:r>
          </w:p>
        </w:tc>
        <w:tc>
          <w:tcPr>
            <w:tcW w:w="559" w:type="pct"/>
          </w:tcPr>
          <w:p w14:paraId="5E61B8EA" w14:textId="25988944"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44" w:type="pct"/>
          </w:tcPr>
          <w:p w14:paraId="65FFCD09" w14:textId="67D6BDEF"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413" w:type="pct"/>
          </w:tcPr>
          <w:p w14:paraId="2169BEEB" w14:textId="34415790" w:rsidR="00FB022B" w:rsidRPr="00BA72C3" w:rsidRDefault="00FB022B"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r>
      <w:tr w:rsidR="00382599" w:rsidRPr="00BA72C3" w14:paraId="03A2A9D2"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74A4BBA0" w14:textId="77777777" w:rsidR="00D72C1D" w:rsidRPr="00BA72C3" w:rsidRDefault="00D72C1D" w:rsidP="00FB022B">
            <w:pPr>
              <w:tabs>
                <w:tab w:val="left" w:pos="990"/>
              </w:tabs>
              <w:rPr>
                <w:b w:val="0"/>
                <w:bCs w:val="0"/>
                <w:noProof/>
                <w:w w:val="110"/>
              </w:rPr>
            </w:pPr>
            <w:r w:rsidRPr="00BA72C3">
              <w:rPr>
                <w:b w:val="0"/>
                <w:bCs w:val="0"/>
                <w:noProof/>
                <w:w w:val="110"/>
              </w:rPr>
              <w:t>Norflurazon (12)</w:t>
            </w:r>
          </w:p>
          <w:p w14:paraId="6EBEE5F4" w14:textId="77777777" w:rsidR="00D72C1D" w:rsidRPr="00BA72C3" w:rsidRDefault="00D72C1D" w:rsidP="00FB022B">
            <w:pPr>
              <w:tabs>
                <w:tab w:val="left" w:pos="990"/>
              </w:tabs>
              <w:rPr>
                <w:b w:val="0"/>
                <w:bCs w:val="0"/>
                <w:noProof/>
                <w:w w:val="110"/>
              </w:rPr>
            </w:pPr>
            <w:r w:rsidRPr="00BA72C3">
              <w:rPr>
                <w:b w:val="0"/>
                <w:bCs w:val="0"/>
                <w:noProof/>
                <w:w w:val="110"/>
              </w:rPr>
              <w:t>[Solicam DF]</w:t>
            </w:r>
          </w:p>
        </w:tc>
        <w:tc>
          <w:tcPr>
            <w:tcW w:w="842" w:type="pct"/>
          </w:tcPr>
          <w:p w14:paraId="2C88B329"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 to 4 lb ai</w:t>
            </w:r>
          </w:p>
          <w:p w14:paraId="134DE691"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(2.5 to 5 lb)</w:t>
            </w:r>
          </w:p>
        </w:tc>
        <w:tc>
          <w:tcPr>
            <w:tcW w:w="775" w:type="pct"/>
          </w:tcPr>
          <w:p w14:paraId="2E9304C5"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 to 4 lb ai</w:t>
            </w:r>
          </w:p>
          <w:p w14:paraId="592AC6F7"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(2.5 to 5 lb)</w:t>
            </w:r>
          </w:p>
        </w:tc>
        <w:tc>
          <w:tcPr>
            <w:tcW w:w="835" w:type="pct"/>
          </w:tcPr>
          <w:p w14:paraId="591FE3EC"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(NA)</w:t>
            </w:r>
          </w:p>
        </w:tc>
        <w:tc>
          <w:tcPr>
            <w:tcW w:w="559" w:type="pct"/>
          </w:tcPr>
          <w:p w14:paraId="3777A7AE"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w:t>
            </w:r>
          </w:p>
        </w:tc>
        <w:tc>
          <w:tcPr>
            <w:tcW w:w="544" w:type="pct"/>
          </w:tcPr>
          <w:p w14:paraId="04689AFA"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12</w:t>
            </w:r>
          </w:p>
        </w:tc>
        <w:tc>
          <w:tcPr>
            <w:tcW w:w="413" w:type="pct"/>
          </w:tcPr>
          <w:p w14:paraId="3C0E175A"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60</w:t>
            </w:r>
          </w:p>
        </w:tc>
      </w:tr>
      <w:tr w:rsidR="00FB022B" w:rsidRPr="00BA72C3" w14:paraId="18327F59"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125993C4" w14:textId="77777777" w:rsidR="00D72C1D" w:rsidRPr="00BA72C3" w:rsidRDefault="00D72C1D" w:rsidP="00FB022B">
            <w:pPr>
              <w:tabs>
                <w:tab w:val="left" w:pos="990"/>
              </w:tabs>
              <w:rPr>
                <w:b w:val="0"/>
                <w:bCs w:val="0"/>
                <w:noProof/>
                <w:w w:val="110"/>
              </w:rPr>
            </w:pPr>
            <w:r w:rsidRPr="00BA72C3">
              <w:rPr>
                <w:b w:val="0"/>
                <w:bCs w:val="0"/>
                <w:noProof/>
                <w:w w:val="110"/>
              </w:rPr>
              <w:t>Pendimethalin (3)</w:t>
            </w:r>
          </w:p>
          <w:p w14:paraId="11867BB5" w14:textId="77777777" w:rsidR="00D72C1D" w:rsidRPr="00BA72C3" w:rsidRDefault="00D72C1D" w:rsidP="00FB022B">
            <w:pPr>
              <w:tabs>
                <w:tab w:val="left" w:pos="990"/>
              </w:tabs>
              <w:rPr>
                <w:b w:val="0"/>
                <w:bCs w:val="0"/>
                <w:noProof/>
                <w:w w:val="110"/>
              </w:rPr>
            </w:pPr>
            <w:r w:rsidRPr="00BA72C3">
              <w:rPr>
                <w:b w:val="0"/>
                <w:bCs w:val="0"/>
                <w:noProof/>
                <w:w w:val="110"/>
              </w:rPr>
              <w:lastRenderedPageBreak/>
              <w:t>[Prowl H2O]</w:t>
            </w:r>
          </w:p>
        </w:tc>
        <w:tc>
          <w:tcPr>
            <w:tcW w:w="842" w:type="pct"/>
          </w:tcPr>
          <w:p w14:paraId="6F447663"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lastRenderedPageBreak/>
              <w:t>1 to 4 lb ai</w:t>
            </w:r>
          </w:p>
          <w:p w14:paraId="307EB78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(1.1 to 4.2 qt)</w:t>
            </w:r>
          </w:p>
        </w:tc>
        <w:tc>
          <w:tcPr>
            <w:tcW w:w="775" w:type="pct"/>
          </w:tcPr>
          <w:p w14:paraId="0854017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4 lb ai</w:t>
            </w:r>
          </w:p>
          <w:p w14:paraId="19C95EB8"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(4.2 qt)</w:t>
            </w:r>
          </w:p>
        </w:tc>
        <w:tc>
          <w:tcPr>
            <w:tcW w:w="835" w:type="pct"/>
          </w:tcPr>
          <w:p w14:paraId="5D437190"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2/(30 days)</w:t>
            </w:r>
          </w:p>
        </w:tc>
        <w:tc>
          <w:tcPr>
            <w:tcW w:w="559" w:type="pct"/>
          </w:tcPr>
          <w:p w14:paraId="7F688E68"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w:t>
            </w:r>
          </w:p>
        </w:tc>
        <w:tc>
          <w:tcPr>
            <w:tcW w:w="544" w:type="pct"/>
          </w:tcPr>
          <w:p w14:paraId="692C179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12</w:t>
            </w:r>
          </w:p>
        </w:tc>
        <w:tc>
          <w:tcPr>
            <w:tcW w:w="413" w:type="pct"/>
          </w:tcPr>
          <w:p w14:paraId="5B925778"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90</w:t>
            </w:r>
          </w:p>
        </w:tc>
      </w:tr>
      <w:tr w:rsidR="00382599" w:rsidRPr="00BA72C3" w14:paraId="6FCE44B9"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644C2A42" w14:textId="77777777" w:rsidR="00D72C1D" w:rsidRPr="00BA72C3" w:rsidRDefault="00D72C1D" w:rsidP="00FB022B">
            <w:pPr>
              <w:tabs>
                <w:tab w:val="left" w:pos="990"/>
              </w:tabs>
              <w:rPr>
                <w:b w:val="0"/>
                <w:bCs w:val="0"/>
                <w:noProof/>
                <w:w w:val="110"/>
              </w:rPr>
            </w:pPr>
            <w:r w:rsidRPr="00BA72C3">
              <w:rPr>
                <w:b w:val="0"/>
                <w:bCs w:val="0"/>
                <w:noProof/>
                <w:w w:val="110"/>
              </w:rPr>
              <w:t>Trifluralin (3)</w:t>
            </w:r>
          </w:p>
          <w:p w14:paraId="58FE1744" w14:textId="77777777" w:rsidR="00D72C1D" w:rsidRPr="00BA72C3" w:rsidRDefault="00D72C1D" w:rsidP="00FB022B">
            <w:pPr>
              <w:tabs>
                <w:tab w:val="left" w:pos="990"/>
              </w:tabs>
              <w:rPr>
                <w:b w:val="0"/>
                <w:bCs w:val="0"/>
                <w:noProof/>
                <w:w w:val="110"/>
              </w:rPr>
            </w:pPr>
            <w:r w:rsidRPr="00BA72C3">
              <w:rPr>
                <w:b w:val="0"/>
                <w:bCs w:val="0"/>
                <w:noProof/>
                <w:w w:val="110"/>
              </w:rPr>
              <w:t>[Treflan 4D]</w:t>
            </w:r>
          </w:p>
        </w:tc>
        <w:tc>
          <w:tcPr>
            <w:tcW w:w="842" w:type="pct"/>
          </w:tcPr>
          <w:p w14:paraId="26CF7E1F"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0.5 to 0.75 lb ai</w:t>
            </w:r>
          </w:p>
          <w:p w14:paraId="01262CC1"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to 1.5 pt]</w:t>
            </w:r>
          </w:p>
        </w:tc>
        <w:tc>
          <w:tcPr>
            <w:tcW w:w="775" w:type="pct"/>
          </w:tcPr>
          <w:p w14:paraId="308F922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0.5 to 0.75 lb ai</w:t>
            </w:r>
          </w:p>
          <w:p w14:paraId="0EE691D4"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to 1.5 pt]</w:t>
            </w:r>
          </w:p>
        </w:tc>
        <w:tc>
          <w:tcPr>
            <w:tcW w:w="835" w:type="pct"/>
          </w:tcPr>
          <w:p w14:paraId="3E751EB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1/(NA)</w:t>
            </w:r>
          </w:p>
        </w:tc>
        <w:tc>
          <w:tcPr>
            <w:tcW w:w="559" w:type="pct"/>
          </w:tcPr>
          <w:p w14:paraId="2E280027"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12</w:t>
            </w:r>
          </w:p>
        </w:tc>
        <w:tc>
          <w:tcPr>
            <w:tcW w:w="544" w:type="pct"/>
          </w:tcPr>
          <w:p w14:paraId="4F9A93A9"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5</w:t>
            </w:r>
          </w:p>
        </w:tc>
        <w:tc>
          <w:tcPr>
            <w:tcW w:w="413" w:type="pct"/>
          </w:tcPr>
          <w:p w14:paraId="781F9CC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r>
      <w:tr w:rsidR="00D72C1D" w:rsidRPr="00BA72C3" w14:paraId="5009B7F6" w14:textId="77777777" w:rsidTr="00382599">
        <w:tc>
          <w:tcPr>
            <w:cnfStyle w:val="001000000000" w:firstRow="0" w:lastRow="0" w:firstColumn="1" w:lastColumn="0" w:oddVBand="0" w:evenVBand="0" w:oddHBand="0" w:evenHBand="0" w:firstRowFirstColumn="0" w:firstRowLastColumn="0" w:lastRowFirstColumn="0" w:lastRowLastColumn="0"/>
            <w:tcW w:w="5000" w:type="pct"/>
            <w:gridSpan w:val="7"/>
          </w:tcPr>
          <w:p w14:paraId="572F6385" w14:textId="77777777" w:rsidR="00D72C1D" w:rsidRPr="00BA72C3" w:rsidRDefault="00D72C1D" w:rsidP="00FB022B">
            <w:pPr>
              <w:tabs>
                <w:tab w:val="left" w:pos="990"/>
              </w:tabs>
              <w:rPr>
                <w:b w:val="0"/>
                <w:bCs w:val="0"/>
                <w:noProof/>
                <w:w w:val="110"/>
              </w:rPr>
            </w:pPr>
            <w:r w:rsidRPr="00BA72C3">
              <w:rPr>
                <w:b w:val="0"/>
                <w:bCs w:val="0"/>
                <w:noProof/>
                <w:w w:val="110"/>
              </w:rPr>
              <w:t>Postemergence</w:t>
            </w:r>
          </w:p>
        </w:tc>
      </w:tr>
      <w:tr w:rsidR="00382599" w:rsidRPr="00BA72C3" w14:paraId="34DA6DAD"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1FE33F9F" w14:textId="77777777" w:rsidR="00D72C1D" w:rsidRPr="00BA72C3" w:rsidRDefault="00D72C1D" w:rsidP="00FB022B">
            <w:pPr>
              <w:tabs>
                <w:tab w:val="left" w:pos="990"/>
              </w:tabs>
              <w:rPr>
                <w:b w:val="0"/>
                <w:bCs w:val="0"/>
                <w:noProof/>
                <w:w w:val="110"/>
              </w:rPr>
            </w:pPr>
            <w:r w:rsidRPr="00BA72C3">
              <w:rPr>
                <w:b w:val="0"/>
                <w:bCs w:val="0"/>
                <w:noProof/>
                <w:w w:val="110"/>
              </w:rPr>
              <w:t>2,4-D (4)</w:t>
            </w:r>
          </w:p>
          <w:p w14:paraId="6C0C75C6" w14:textId="77777777" w:rsidR="00D72C1D" w:rsidRPr="00BA72C3" w:rsidRDefault="00D72C1D" w:rsidP="00FB022B">
            <w:pPr>
              <w:tabs>
                <w:tab w:val="left" w:pos="990"/>
              </w:tabs>
              <w:rPr>
                <w:b w:val="0"/>
                <w:bCs w:val="0"/>
                <w:noProof/>
                <w:w w:val="110"/>
              </w:rPr>
            </w:pPr>
            <w:r w:rsidRPr="00BA72C3">
              <w:rPr>
                <w:b w:val="0"/>
                <w:bCs w:val="0"/>
                <w:noProof/>
                <w:w w:val="110"/>
              </w:rPr>
              <w:t>[various]</w:t>
            </w:r>
          </w:p>
        </w:tc>
        <w:tc>
          <w:tcPr>
            <w:tcW w:w="842" w:type="pct"/>
          </w:tcPr>
          <w:p w14:paraId="350F23EB"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0.48 lb ae</w:t>
            </w:r>
          </w:p>
          <w:p w14:paraId="20E1B2EF"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 pt)</w:t>
            </w:r>
          </w:p>
        </w:tc>
        <w:tc>
          <w:tcPr>
            <w:tcW w:w="775" w:type="pct"/>
          </w:tcPr>
          <w:p w14:paraId="0D9A3605"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1.43 lb ae</w:t>
            </w:r>
          </w:p>
          <w:p w14:paraId="7017245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(3 pt)</w:t>
            </w:r>
          </w:p>
        </w:tc>
        <w:tc>
          <w:tcPr>
            <w:tcW w:w="835" w:type="pct"/>
          </w:tcPr>
          <w:p w14:paraId="42D95B1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3/(30 days)</w:t>
            </w:r>
          </w:p>
        </w:tc>
        <w:tc>
          <w:tcPr>
            <w:tcW w:w="559" w:type="pct"/>
          </w:tcPr>
          <w:p w14:paraId="27878FFE"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c>
          <w:tcPr>
            <w:tcW w:w="544" w:type="pct"/>
          </w:tcPr>
          <w:p w14:paraId="16ABBD9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413" w:type="pct"/>
          </w:tcPr>
          <w:p w14:paraId="559449A7"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28</w:t>
            </w:r>
          </w:p>
        </w:tc>
      </w:tr>
      <w:tr w:rsidR="00FB022B" w:rsidRPr="00BA72C3" w14:paraId="4EDBC61E"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3AAE4FCD" w14:textId="77777777" w:rsidR="00D72C1D" w:rsidRPr="00BA72C3" w:rsidRDefault="00D72C1D" w:rsidP="00FB022B">
            <w:pPr>
              <w:tabs>
                <w:tab w:val="left" w:pos="990"/>
              </w:tabs>
              <w:rPr>
                <w:b w:val="0"/>
                <w:bCs w:val="0"/>
                <w:noProof/>
                <w:w w:val="110"/>
              </w:rPr>
            </w:pPr>
            <w:r w:rsidRPr="00BA72C3">
              <w:rPr>
                <w:b w:val="0"/>
                <w:bCs w:val="0"/>
                <w:noProof/>
                <w:w w:val="110"/>
              </w:rPr>
              <w:t>Glyphosate (10)</w:t>
            </w:r>
          </w:p>
          <w:p w14:paraId="4C385007" w14:textId="77777777" w:rsidR="00D72C1D" w:rsidRPr="00BA72C3" w:rsidRDefault="00D72C1D" w:rsidP="00FB022B">
            <w:pPr>
              <w:tabs>
                <w:tab w:val="left" w:pos="990"/>
              </w:tabs>
              <w:rPr>
                <w:b w:val="0"/>
                <w:bCs w:val="0"/>
                <w:noProof/>
                <w:w w:val="110"/>
              </w:rPr>
            </w:pPr>
            <w:r w:rsidRPr="00BA72C3">
              <w:rPr>
                <w:b w:val="0"/>
                <w:bCs w:val="0"/>
                <w:noProof/>
                <w:w w:val="110"/>
              </w:rPr>
              <w:t>[various]</w:t>
            </w:r>
          </w:p>
        </w:tc>
        <w:tc>
          <w:tcPr>
            <w:tcW w:w="842" w:type="pct"/>
          </w:tcPr>
          <w:p w14:paraId="2762ED3E"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0.38 to 3.68 lb ae</w:t>
            </w:r>
          </w:p>
          <w:p w14:paraId="19342F0E"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(see label)</w:t>
            </w:r>
          </w:p>
        </w:tc>
        <w:tc>
          <w:tcPr>
            <w:tcW w:w="775" w:type="pct"/>
          </w:tcPr>
          <w:p w14:paraId="01FDE32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7.87 lb ae</w:t>
            </w:r>
          </w:p>
          <w:p w14:paraId="040062C8"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(see label)</w:t>
            </w:r>
          </w:p>
        </w:tc>
        <w:tc>
          <w:tcPr>
            <w:tcW w:w="835" w:type="pct"/>
          </w:tcPr>
          <w:p w14:paraId="1DDA3FB1"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-/(14 days)</w:t>
            </w:r>
          </w:p>
        </w:tc>
        <w:tc>
          <w:tcPr>
            <w:tcW w:w="559" w:type="pct"/>
          </w:tcPr>
          <w:p w14:paraId="58CA3A23"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44" w:type="pct"/>
          </w:tcPr>
          <w:p w14:paraId="6125414B"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413" w:type="pct"/>
          </w:tcPr>
          <w:p w14:paraId="6D46C40B"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14</w:t>
            </w:r>
          </w:p>
        </w:tc>
      </w:tr>
      <w:tr w:rsidR="00382599" w:rsidRPr="00BA72C3" w14:paraId="28BCDDD7"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604C4AEF" w14:textId="028D4F43" w:rsidR="00D72C1D" w:rsidRPr="00BA72C3" w:rsidRDefault="00D72C1D" w:rsidP="00FB022B">
            <w:pPr>
              <w:tabs>
                <w:tab w:val="left" w:pos="990"/>
              </w:tabs>
              <w:rPr>
                <w:b w:val="0"/>
                <w:bCs w:val="0"/>
                <w:noProof/>
                <w:w w:val="110"/>
              </w:rPr>
            </w:pPr>
            <w:r w:rsidRPr="00BA72C3">
              <w:rPr>
                <w:b w:val="0"/>
                <w:bCs w:val="0"/>
                <w:noProof/>
                <w:w w:val="110"/>
              </w:rPr>
              <w:t>Capric + Caprylic Acid (</w:t>
            </w:r>
            <w:r w:rsidR="001D7000" w:rsidRPr="00BA72C3">
              <w:rPr>
                <w:b w:val="0"/>
                <w:bCs w:val="0"/>
                <w:noProof/>
                <w:w w:val="110"/>
              </w:rPr>
              <w:t>1</w:t>
            </w:r>
            <w:r w:rsidRPr="00BA72C3">
              <w:rPr>
                <w:b w:val="0"/>
                <w:bCs w:val="0"/>
                <w:noProof/>
                <w:w w:val="110"/>
              </w:rPr>
              <w:t>7) [Supress EC]</w:t>
            </w:r>
          </w:p>
        </w:tc>
        <w:tc>
          <w:tcPr>
            <w:tcW w:w="842" w:type="pct"/>
          </w:tcPr>
          <w:p w14:paraId="69E38B1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3 to 9% v/v</w:t>
            </w:r>
          </w:p>
          <w:p w14:paraId="595BCA25"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(varies by spray vol.)</w:t>
            </w:r>
          </w:p>
        </w:tc>
        <w:tc>
          <w:tcPr>
            <w:tcW w:w="775" w:type="pct"/>
          </w:tcPr>
          <w:p w14:paraId="3166D0A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c>
          <w:tcPr>
            <w:tcW w:w="835" w:type="pct"/>
          </w:tcPr>
          <w:p w14:paraId="505F36A9"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c>
          <w:tcPr>
            <w:tcW w:w="559" w:type="pct"/>
          </w:tcPr>
          <w:p w14:paraId="6FC0E0BC"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c>
          <w:tcPr>
            <w:tcW w:w="544" w:type="pct"/>
          </w:tcPr>
          <w:p w14:paraId="557A895A"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N/A</w:t>
            </w:r>
          </w:p>
        </w:tc>
        <w:tc>
          <w:tcPr>
            <w:tcW w:w="413" w:type="pct"/>
          </w:tcPr>
          <w:p w14:paraId="58F421AD"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w:t>
            </w:r>
          </w:p>
        </w:tc>
      </w:tr>
      <w:tr w:rsidR="00FB022B" w:rsidRPr="00BA72C3" w14:paraId="65EA7745"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70973B79" w14:textId="77777777" w:rsidR="00D72C1D" w:rsidRPr="00BA72C3" w:rsidRDefault="00D72C1D" w:rsidP="00FB022B">
            <w:pPr>
              <w:tabs>
                <w:tab w:val="left" w:pos="990"/>
              </w:tabs>
              <w:rPr>
                <w:b w:val="0"/>
                <w:bCs w:val="0"/>
                <w:noProof/>
                <w:w w:val="110"/>
              </w:rPr>
            </w:pPr>
            <w:r w:rsidRPr="00BA72C3">
              <w:rPr>
                <w:b w:val="0"/>
                <w:bCs w:val="0"/>
                <w:noProof/>
                <w:w w:val="110"/>
              </w:rPr>
              <w:t>Carfentrazone (14)</w:t>
            </w:r>
          </w:p>
          <w:p w14:paraId="74D17DE6" w14:textId="77777777" w:rsidR="00D72C1D" w:rsidRPr="00BA72C3" w:rsidRDefault="00D72C1D" w:rsidP="00FB022B">
            <w:pPr>
              <w:tabs>
                <w:tab w:val="left" w:pos="990"/>
              </w:tabs>
              <w:rPr>
                <w:b w:val="0"/>
                <w:bCs w:val="0"/>
                <w:noProof/>
                <w:w w:val="110"/>
              </w:rPr>
            </w:pPr>
            <w:r w:rsidRPr="00BA72C3">
              <w:rPr>
                <w:b w:val="0"/>
                <w:bCs w:val="0"/>
                <w:noProof/>
                <w:w w:val="110"/>
              </w:rPr>
              <w:t>[Aim EC]</w:t>
            </w:r>
          </w:p>
        </w:tc>
        <w:tc>
          <w:tcPr>
            <w:tcW w:w="842" w:type="pct"/>
          </w:tcPr>
          <w:p w14:paraId="23D7E4F4"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0.03 lb ai</w:t>
            </w:r>
          </w:p>
          <w:p w14:paraId="2C773CFC"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(2 fl oz)</w:t>
            </w:r>
          </w:p>
        </w:tc>
        <w:tc>
          <w:tcPr>
            <w:tcW w:w="775" w:type="pct"/>
          </w:tcPr>
          <w:p w14:paraId="756B48F0"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0.12 lb ai</w:t>
            </w:r>
          </w:p>
          <w:p w14:paraId="2FDA24A3"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(7.6 fl oz)</w:t>
            </w:r>
          </w:p>
        </w:tc>
        <w:tc>
          <w:tcPr>
            <w:tcW w:w="835" w:type="pct"/>
          </w:tcPr>
          <w:p w14:paraId="5EBC4805"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-/(14 days)</w:t>
            </w:r>
          </w:p>
        </w:tc>
        <w:tc>
          <w:tcPr>
            <w:tcW w:w="559" w:type="pct"/>
          </w:tcPr>
          <w:p w14:paraId="7823DA9A"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44" w:type="pct"/>
          </w:tcPr>
          <w:p w14:paraId="128650A4"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413" w:type="pct"/>
          </w:tcPr>
          <w:p w14:paraId="45D05F72"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7</w:t>
            </w:r>
          </w:p>
        </w:tc>
      </w:tr>
      <w:tr w:rsidR="00382599" w:rsidRPr="00BA72C3" w14:paraId="222F7235"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6EEE909E" w14:textId="77777777" w:rsidR="00D72C1D" w:rsidRPr="00BA72C3" w:rsidRDefault="00D72C1D" w:rsidP="00FB022B">
            <w:pPr>
              <w:tabs>
                <w:tab w:val="left" w:pos="990"/>
              </w:tabs>
              <w:rPr>
                <w:b w:val="0"/>
                <w:bCs w:val="0"/>
                <w:noProof/>
                <w:w w:val="110"/>
              </w:rPr>
            </w:pPr>
            <w:r w:rsidRPr="00BA72C3">
              <w:rPr>
                <w:b w:val="0"/>
                <w:bCs w:val="0"/>
                <w:noProof/>
                <w:w w:val="110"/>
              </w:rPr>
              <w:t>Clethodim (1)</w:t>
            </w:r>
          </w:p>
          <w:p w14:paraId="512EF595" w14:textId="77777777" w:rsidR="00D72C1D" w:rsidRPr="00BA72C3" w:rsidRDefault="00D72C1D" w:rsidP="00FB022B">
            <w:pPr>
              <w:tabs>
                <w:tab w:val="left" w:pos="990"/>
              </w:tabs>
              <w:rPr>
                <w:b w:val="0"/>
                <w:bCs w:val="0"/>
                <w:noProof/>
                <w:w w:val="110"/>
              </w:rPr>
            </w:pPr>
            <w:r w:rsidRPr="00BA72C3">
              <w:rPr>
                <w:b w:val="0"/>
                <w:bCs w:val="0"/>
                <w:noProof/>
                <w:w w:val="110"/>
              </w:rPr>
              <w:t>[ various]</w:t>
            </w:r>
          </w:p>
        </w:tc>
        <w:tc>
          <w:tcPr>
            <w:tcW w:w="842" w:type="pct"/>
          </w:tcPr>
          <w:p w14:paraId="656C1A7C" w14:textId="4A6CCBE8"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0.068 to 0.12 lb ai (see label)</w:t>
            </w:r>
          </w:p>
        </w:tc>
        <w:tc>
          <w:tcPr>
            <w:tcW w:w="775" w:type="pct"/>
          </w:tcPr>
          <w:p w14:paraId="7F40F9E9"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0.5 lb ai</w:t>
            </w:r>
          </w:p>
          <w:p w14:paraId="7AC04AF0"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(see label)</w:t>
            </w:r>
          </w:p>
        </w:tc>
        <w:tc>
          <w:tcPr>
            <w:tcW w:w="835" w:type="pct"/>
          </w:tcPr>
          <w:p w14:paraId="3E07DD96"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-/(14 days)</w:t>
            </w:r>
          </w:p>
        </w:tc>
        <w:tc>
          <w:tcPr>
            <w:tcW w:w="559" w:type="pct"/>
          </w:tcPr>
          <w:p w14:paraId="4ECC9BD5"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544" w:type="pct"/>
          </w:tcPr>
          <w:p w14:paraId="1A831A24"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413" w:type="pct"/>
          </w:tcPr>
          <w:p w14:paraId="328E8FCD"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21</w:t>
            </w:r>
          </w:p>
        </w:tc>
      </w:tr>
      <w:tr w:rsidR="00FB022B" w:rsidRPr="00BA72C3" w14:paraId="478C6F2E"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113D20B7" w14:textId="77777777" w:rsidR="00D72C1D" w:rsidRPr="00BA72C3" w:rsidRDefault="00D72C1D" w:rsidP="00FB022B">
            <w:pPr>
              <w:tabs>
                <w:tab w:val="left" w:pos="990"/>
              </w:tabs>
              <w:rPr>
                <w:b w:val="0"/>
                <w:bCs w:val="0"/>
                <w:noProof/>
                <w:w w:val="110"/>
              </w:rPr>
            </w:pPr>
            <w:r w:rsidRPr="00BA72C3">
              <w:rPr>
                <w:b w:val="0"/>
                <w:bCs w:val="0"/>
                <w:noProof/>
                <w:w w:val="110"/>
              </w:rPr>
              <w:t>Clopyralid (4)</w:t>
            </w:r>
          </w:p>
          <w:p w14:paraId="711CCE91" w14:textId="77777777" w:rsidR="00D72C1D" w:rsidRPr="00BA72C3" w:rsidRDefault="00D72C1D" w:rsidP="00FB022B">
            <w:pPr>
              <w:tabs>
                <w:tab w:val="left" w:pos="990"/>
              </w:tabs>
              <w:rPr>
                <w:b w:val="0"/>
                <w:bCs w:val="0"/>
                <w:noProof/>
                <w:w w:val="110"/>
              </w:rPr>
            </w:pPr>
            <w:r w:rsidRPr="00BA72C3">
              <w:rPr>
                <w:b w:val="0"/>
                <w:bCs w:val="0"/>
                <w:noProof/>
                <w:w w:val="110"/>
              </w:rPr>
              <w:t>[Stinger]</w:t>
            </w:r>
          </w:p>
        </w:tc>
        <w:tc>
          <w:tcPr>
            <w:tcW w:w="842" w:type="pct"/>
          </w:tcPr>
          <w:p w14:paraId="5F8CCDFD" w14:textId="44A32E58"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0.125 to 0.25 lb ae (0.33 to 0.67 pt)</w:t>
            </w:r>
          </w:p>
        </w:tc>
        <w:tc>
          <w:tcPr>
            <w:tcW w:w="775" w:type="pct"/>
          </w:tcPr>
          <w:p w14:paraId="37C75ADF"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0.25 lb ae</w:t>
            </w:r>
          </w:p>
          <w:p w14:paraId="75F5EF6E"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(0.67 pt)</w:t>
            </w:r>
          </w:p>
        </w:tc>
        <w:tc>
          <w:tcPr>
            <w:tcW w:w="835" w:type="pct"/>
          </w:tcPr>
          <w:p w14:paraId="76EF47AB"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2/(21 days)</w:t>
            </w:r>
          </w:p>
        </w:tc>
        <w:tc>
          <w:tcPr>
            <w:tcW w:w="559" w:type="pct"/>
          </w:tcPr>
          <w:p w14:paraId="549D5CF0"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w:t>
            </w:r>
          </w:p>
        </w:tc>
        <w:tc>
          <w:tcPr>
            <w:tcW w:w="544" w:type="pct"/>
          </w:tcPr>
          <w:p w14:paraId="340339BB"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12</w:t>
            </w:r>
          </w:p>
        </w:tc>
        <w:tc>
          <w:tcPr>
            <w:tcW w:w="413" w:type="pct"/>
          </w:tcPr>
          <w:p w14:paraId="7ACA8CE7"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30</w:t>
            </w:r>
          </w:p>
        </w:tc>
      </w:tr>
      <w:tr w:rsidR="00382599" w:rsidRPr="00BA72C3" w14:paraId="709B4F83" w14:textId="77777777" w:rsidTr="00FB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14:paraId="71921BE3" w14:textId="77777777" w:rsidR="00D72C1D" w:rsidRPr="00BA72C3" w:rsidRDefault="00D72C1D" w:rsidP="00FB022B">
            <w:pPr>
              <w:tabs>
                <w:tab w:val="left" w:pos="990"/>
              </w:tabs>
              <w:rPr>
                <w:b w:val="0"/>
                <w:bCs w:val="0"/>
                <w:noProof/>
                <w:w w:val="110"/>
              </w:rPr>
            </w:pPr>
            <w:r w:rsidRPr="00BA72C3">
              <w:rPr>
                <w:b w:val="0"/>
                <w:bCs w:val="0"/>
                <w:noProof/>
                <w:w w:val="110"/>
              </w:rPr>
              <w:t>Paraquat (22)</w:t>
            </w:r>
          </w:p>
          <w:p w14:paraId="0D44CE0D" w14:textId="77777777" w:rsidR="00D72C1D" w:rsidRPr="00BA72C3" w:rsidRDefault="00D72C1D" w:rsidP="00FB022B">
            <w:pPr>
              <w:tabs>
                <w:tab w:val="left" w:pos="990"/>
              </w:tabs>
              <w:rPr>
                <w:b w:val="0"/>
                <w:bCs w:val="0"/>
                <w:noProof/>
                <w:w w:val="110"/>
              </w:rPr>
            </w:pPr>
            <w:r w:rsidRPr="00BA72C3">
              <w:rPr>
                <w:b w:val="0"/>
                <w:bCs w:val="0"/>
                <w:noProof/>
                <w:w w:val="110"/>
              </w:rPr>
              <w:t>[GramoxoneSL]</w:t>
            </w:r>
          </w:p>
        </w:tc>
        <w:tc>
          <w:tcPr>
            <w:tcW w:w="842" w:type="pct"/>
          </w:tcPr>
          <w:p w14:paraId="0617F757" w14:textId="4335CE58"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0.5 lb ai(2 pt)</w:t>
            </w:r>
          </w:p>
        </w:tc>
        <w:tc>
          <w:tcPr>
            <w:tcW w:w="775" w:type="pct"/>
          </w:tcPr>
          <w:p w14:paraId="607876BB"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1.5 lb ai</w:t>
            </w:r>
          </w:p>
          <w:p w14:paraId="086FD1A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(6 pt)</w:t>
            </w:r>
          </w:p>
        </w:tc>
        <w:tc>
          <w:tcPr>
            <w:tcW w:w="835" w:type="pct"/>
          </w:tcPr>
          <w:p w14:paraId="44C9E455"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3/(-)</w:t>
            </w:r>
          </w:p>
        </w:tc>
        <w:tc>
          <w:tcPr>
            <w:tcW w:w="559" w:type="pct"/>
          </w:tcPr>
          <w:p w14:paraId="1049585D"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544" w:type="pct"/>
          </w:tcPr>
          <w:p w14:paraId="68CFA633"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w:t>
            </w:r>
          </w:p>
        </w:tc>
        <w:tc>
          <w:tcPr>
            <w:tcW w:w="413" w:type="pct"/>
          </w:tcPr>
          <w:p w14:paraId="0127D822" w14:textId="77777777" w:rsidR="00D72C1D" w:rsidRPr="00BA72C3" w:rsidRDefault="00D72C1D" w:rsidP="00FB022B">
            <w:pPr>
              <w:tabs>
                <w:tab w:val="left" w:pos="990"/>
              </w:tabs>
              <w:cnfStyle w:val="000000100000" w:firstRow="0" w:lastRow="0" w:firstColumn="0" w:lastColumn="0" w:oddVBand="0" w:evenVBand="0" w:oddHBand="1" w:evenHBand="0" w:firstRowFirstColumn="0" w:firstRowLastColumn="0" w:lastRowFirstColumn="0" w:lastRowLastColumn="0"/>
              <w:rPr>
                <w:noProof/>
                <w:w w:val="110"/>
              </w:rPr>
            </w:pPr>
            <w:r w:rsidRPr="00BA72C3">
              <w:rPr>
                <w:noProof/>
                <w:w w:val="110"/>
              </w:rPr>
              <w:t>14</w:t>
            </w:r>
          </w:p>
        </w:tc>
      </w:tr>
      <w:tr w:rsidR="00FB022B" w:rsidRPr="00BA72C3" w14:paraId="274DA666" w14:textId="77777777" w:rsidTr="00FB022B">
        <w:tc>
          <w:tcPr>
            <w:cnfStyle w:val="001000000000" w:firstRow="0" w:lastRow="0" w:firstColumn="1" w:lastColumn="0" w:oddVBand="0" w:evenVBand="0" w:oddHBand="0" w:evenHBand="0" w:firstRowFirstColumn="0" w:firstRowLastColumn="0" w:lastRowFirstColumn="0" w:lastRowLastColumn="0"/>
            <w:tcW w:w="1033" w:type="pct"/>
          </w:tcPr>
          <w:p w14:paraId="11465984" w14:textId="08A44A28" w:rsidR="00D72C1D" w:rsidRPr="00BA72C3" w:rsidRDefault="00D72C1D" w:rsidP="00FB022B">
            <w:pPr>
              <w:tabs>
                <w:tab w:val="left" w:pos="990"/>
              </w:tabs>
              <w:rPr>
                <w:b w:val="0"/>
                <w:bCs w:val="0"/>
                <w:noProof/>
                <w:w w:val="110"/>
              </w:rPr>
            </w:pPr>
            <w:r w:rsidRPr="00BA72C3">
              <w:rPr>
                <w:b w:val="0"/>
                <w:bCs w:val="0"/>
                <w:noProof/>
                <w:w w:val="110"/>
              </w:rPr>
              <w:t>Pelargonic Acid (</w:t>
            </w:r>
            <w:r w:rsidR="001D7000" w:rsidRPr="00BA72C3">
              <w:rPr>
                <w:b w:val="0"/>
                <w:bCs w:val="0"/>
                <w:noProof/>
                <w:w w:val="110"/>
              </w:rPr>
              <w:t>17</w:t>
            </w:r>
            <w:r w:rsidRPr="00BA72C3">
              <w:rPr>
                <w:b w:val="0"/>
                <w:bCs w:val="0"/>
                <w:noProof/>
                <w:w w:val="110"/>
              </w:rPr>
              <w:t>)</w:t>
            </w:r>
          </w:p>
          <w:p w14:paraId="52E4E4CF" w14:textId="77777777" w:rsidR="00D72C1D" w:rsidRPr="00BA72C3" w:rsidRDefault="00D72C1D" w:rsidP="00FB022B">
            <w:pPr>
              <w:tabs>
                <w:tab w:val="left" w:pos="990"/>
              </w:tabs>
              <w:rPr>
                <w:b w:val="0"/>
                <w:bCs w:val="0"/>
                <w:noProof/>
                <w:w w:val="110"/>
              </w:rPr>
            </w:pPr>
            <w:r w:rsidRPr="00BA72C3">
              <w:rPr>
                <w:b w:val="0"/>
                <w:bCs w:val="0"/>
                <w:noProof/>
                <w:w w:val="110"/>
              </w:rPr>
              <w:t>[Scythe]</w:t>
            </w:r>
          </w:p>
        </w:tc>
        <w:tc>
          <w:tcPr>
            <w:tcW w:w="842" w:type="pct"/>
          </w:tcPr>
          <w:p w14:paraId="322ABA75"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3 to 10% v/v</w:t>
            </w:r>
          </w:p>
          <w:p w14:paraId="2C3FEB81"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(varies by spray vol.)</w:t>
            </w:r>
          </w:p>
        </w:tc>
        <w:tc>
          <w:tcPr>
            <w:tcW w:w="775" w:type="pct"/>
          </w:tcPr>
          <w:p w14:paraId="2B3A74E7"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N/A</w:t>
            </w:r>
          </w:p>
        </w:tc>
        <w:tc>
          <w:tcPr>
            <w:tcW w:w="835" w:type="pct"/>
          </w:tcPr>
          <w:p w14:paraId="7CA38EDE"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N/A</w:t>
            </w:r>
          </w:p>
        </w:tc>
        <w:tc>
          <w:tcPr>
            <w:tcW w:w="559" w:type="pct"/>
          </w:tcPr>
          <w:p w14:paraId="29ACC965"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N/A</w:t>
            </w:r>
          </w:p>
        </w:tc>
        <w:tc>
          <w:tcPr>
            <w:tcW w:w="544" w:type="pct"/>
          </w:tcPr>
          <w:p w14:paraId="64B6ED26"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N/A</w:t>
            </w:r>
          </w:p>
        </w:tc>
        <w:tc>
          <w:tcPr>
            <w:tcW w:w="413" w:type="pct"/>
          </w:tcPr>
          <w:p w14:paraId="58B4B341" w14:textId="77777777" w:rsidR="00D72C1D" w:rsidRPr="00BA72C3" w:rsidRDefault="00D72C1D" w:rsidP="00FB022B">
            <w:pPr>
              <w:tabs>
                <w:tab w:val="left" w:pos="990"/>
              </w:tabs>
              <w:cnfStyle w:val="000000000000" w:firstRow="0" w:lastRow="0" w:firstColumn="0" w:lastColumn="0" w:oddVBand="0" w:evenVBand="0" w:oddHBand="0" w:evenHBand="0" w:firstRowFirstColumn="0" w:firstRowLastColumn="0" w:lastRowFirstColumn="0" w:lastRowLastColumn="0"/>
              <w:rPr>
                <w:noProof/>
                <w:w w:val="110"/>
              </w:rPr>
            </w:pPr>
            <w:r w:rsidRPr="00BA72C3">
              <w:rPr>
                <w:noProof/>
                <w:w w:val="110"/>
              </w:rPr>
              <w:t>1</w:t>
            </w:r>
          </w:p>
        </w:tc>
      </w:tr>
      <w:tr w:rsidR="00D72C1D" w:rsidRPr="00BA72C3" w14:paraId="188C8484" w14:textId="77777777" w:rsidTr="00382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8F54C1A" w14:textId="77777777" w:rsidR="00D72C1D" w:rsidRPr="00BA72C3" w:rsidRDefault="00D72C1D" w:rsidP="00FB022B">
            <w:pPr>
              <w:widowControl/>
              <w:autoSpaceDE/>
              <w:autoSpaceDN/>
              <w:adjustRightInd/>
              <w:rPr>
                <w:b w:val="0"/>
                <w:bCs w:val="0"/>
              </w:rPr>
            </w:pPr>
            <w:r w:rsidRPr="00BA72C3">
              <w:rPr>
                <w:b w:val="0"/>
                <w:bCs w:val="0"/>
                <w:vertAlign w:val="superscript"/>
              </w:rPr>
              <w:t>1</w:t>
            </w:r>
            <w:r w:rsidRPr="00BA72C3">
              <w:rPr>
                <w:b w:val="0"/>
                <w:bCs w:val="0"/>
              </w:rPr>
              <w:t xml:space="preserve"> WSSA group - Weed Science Society of America herbicide site of action group number. </w:t>
            </w:r>
          </w:p>
          <w:p w14:paraId="25B1295C" w14:textId="2A3F5598" w:rsidR="00D72C1D" w:rsidRPr="00BA72C3" w:rsidRDefault="00D72C1D" w:rsidP="00FB022B">
            <w:pPr>
              <w:widowControl/>
              <w:autoSpaceDE/>
              <w:autoSpaceDN/>
              <w:adjustRightInd/>
              <w:rPr>
                <w:b w:val="0"/>
                <w:bCs w:val="0"/>
                <w:noProof/>
                <w:w w:val="110"/>
              </w:rPr>
            </w:pPr>
            <w:r w:rsidRPr="00BA72C3">
              <w:rPr>
                <w:b w:val="0"/>
                <w:bCs w:val="0"/>
              </w:rPr>
              <w:t>(N/A) – not applicable, (-) no information available.</w:t>
            </w:r>
          </w:p>
        </w:tc>
      </w:tr>
    </w:tbl>
    <w:p w14:paraId="12210936" w14:textId="77777777" w:rsidR="0078529A" w:rsidRPr="00BA72C3" w:rsidRDefault="0078529A" w:rsidP="001E37B3">
      <w:pPr>
        <w:tabs>
          <w:tab w:val="left" w:pos="990"/>
        </w:tabs>
        <w:rPr>
          <w:b/>
          <w:bCs/>
        </w:rPr>
      </w:pPr>
    </w:p>
    <w:p w14:paraId="7885023B" w14:textId="315B2ED9" w:rsidR="002D725F" w:rsidRPr="00BA72C3" w:rsidRDefault="000E4D44" w:rsidP="001E37B3">
      <w:pPr>
        <w:tabs>
          <w:tab w:val="left" w:pos="990"/>
        </w:tabs>
      </w:pPr>
      <w:r w:rsidRPr="00BA72C3">
        <w:rPr>
          <w:b/>
          <w:bCs/>
        </w:rPr>
        <w:t>Procedures:</w:t>
      </w:r>
      <w:r w:rsidR="00F95495" w:rsidRPr="00BA72C3">
        <w:t xml:space="preserve"> </w:t>
      </w:r>
    </w:p>
    <w:p w14:paraId="2A2113F0" w14:textId="5432BF54" w:rsidR="0078529A" w:rsidRDefault="0078529A" w:rsidP="0078529A">
      <w:pPr>
        <w:pStyle w:val="ListParagraph"/>
        <w:numPr>
          <w:ilvl w:val="0"/>
          <w:numId w:val="23"/>
        </w:numPr>
      </w:pPr>
      <w:r w:rsidRPr="00BA72C3">
        <w:t xml:space="preserve">To evaluate hops response to herbicides </w:t>
      </w:r>
      <w:proofErr w:type="spellStart"/>
      <w:r w:rsidRPr="00BA72C3">
        <w:t>tiafenacil</w:t>
      </w:r>
      <w:proofErr w:type="spellEnd"/>
      <w:r w:rsidRPr="00BA72C3">
        <w:t xml:space="preserve">, </w:t>
      </w:r>
      <w:proofErr w:type="spellStart"/>
      <w:r w:rsidRPr="00BA72C3">
        <w:t>tolpyralate</w:t>
      </w:r>
      <w:proofErr w:type="spellEnd"/>
      <w:r w:rsidRPr="00BA72C3">
        <w:t xml:space="preserve">, and </w:t>
      </w:r>
      <w:proofErr w:type="spellStart"/>
      <w:r w:rsidRPr="00BA72C3">
        <w:t>florpyrauxifen</w:t>
      </w:r>
      <w:proofErr w:type="spellEnd"/>
      <w:r w:rsidRPr="00BA72C3">
        <w:t xml:space="preserve">. </w:t>
      </w:r>
    </w:p>
    <w:p w14:paraId="2E9B12B5" w14:textId="7F3C6216" w:rsidR="007C13EE" w:rsidRDefault="00C00CC2" w:rsidP="00126276">
      <w:pPr>
        <w:pStyle w:val="ListParagraph"/>
        <w:numPr>
          <w:ilvl w:val="0"/>
          <w:numId w:val="23"/>
        </w:numPr>
      </w:pPr>
      <w:r w:rsidRPr="00BA72C3">
        <w:t>To assess tiafenacil and glufosinate for spring pruning or crowning of hops.</w:t>
      </w:r>
    </w:p>
    <w:p w14:paraId="38BCEC34" w14:textId="77777777" w:rsidR="00C00CC2" w:rsidRPr="00BA72C3" w:rsidRDefault="00C00CC2" w:rsidP="00126276"/>
    <w:p w14:paraId="06A7B3E4" w14:textId="5012C02B" w:rsidR="0043158A" w:rsidRPr="00BA72C3" w:rsidRDefault="004268AC" w:rsidP="000C3F83">
      <w:pPr>
        <w:rPr>
          <w:w w:val="110"/>
          <w:u w:color="5C6165"/>
        </w:rPr>
      </w:pPr>
      <w:r w:rsidRPr="00BA72C3">
        <w:rPr>
          <w:w w:val="110"/>
          <w:u w:color="5C6165"/>
        </w:rPr>
        <w:t>F</w:t>
      </w:r>
      <w:r w:rsidR="00ED5C0D" w:rsidRPr="00BA72C3">
        <w:rPr>
          <w:w w:val="110"/>
          <w:u w:color="5C6165"/>
        </w:rPr>
        <w:t>ield studies will be conducted in commercial hop yards located in</w:t>
      </w:r>
      <w:r w:rsidR="00F65E7B" w:rsidRPr="00BA72C3">
        <w:rPr>
          <w:w w:val="110"/>
          <w:u w:color="5C6165"/>
        </w:rPr>
        <w:t xml:space="preserve"> Salem and Independence</w:t>
      </w:r>
      <w:r w:rsidR="00A833E1">
        <w:rPr>
          <w:w w:val="110"/>
          <w:u w:color="5C6165"/>
        </w:rPr>
        <w:t>,</w:t>
      </w:r>
      <w:r w:rsidR="00F65E7B" w:rsidRPr="00BA72C3">
        <w:rPr>
          <w:w w:val="110"/>
          <w:u w:color="5C6165"/>
        </w:rPr>
        <w:t xml:space="preserve"> Oregon, in </w:t>
      </w:r>
      <w:r w:rsidR="00ED5C0D" w:rsidRPr="00BA72C3">
        <w:rPr>
          <w:w w:val="110"/>
          <w:u w:color="5C6165"/>
        </w:rPr>
        <w:t>the Willamette Valley</w:t>
      </w:r>
      <w:r w:rsidR="000C0104" w:rsidRPr="000C0104">
        <w:rPr>
          <w:w w:val="110"/>
          <w:u w:color="5C6165"/>
        </w:rPr>
        <w:t xml:space="preserve"> </w:t>
      </w:r>
      <w:r w:rsidR="000C0104">
        <w:rPr>
          <w:w w:val="110"/>
          <w:u w:color="5C6165"/>
        </w:rPr>
        <w:t xml:space="preserve">on sites </w:t>
      </w:r>
      <w:r w:rsidR="000C0104" w:rsidRPr="00BA72C3">
        <w:rPr>
          <w:w w:val="110"/>
          <w:u w:color="5C6165"/>
        </w:rPr>
        <w:t>no larger than 0.2 acres</w:t>
      </w:r>
      <w:r w:rsidR="000C0104">
        <w:rPr>
          <w:w w:val="110"/>
          <w:u w:color="5C6165"/>
        </w:rPr>
        <w:t xml:space="preserve"> each</w:t>
      </w:r>
      <w:r w:rsidR="00ED5C0D" w:rsidRPr="00BA72C3">
        <w:rPr>
          <w:w w:val="110"/>
          <w:u w:color="5C6165"/>
        </w:rPr>
        <w:t xml:space="preserve">. Evaluations will be made over two consecutive years </w:t>
      </w:r>
      <w:r w:rsidR="000C0104">
        <w:rPr>
          <w:w w:val="110"/>
          <w:u w:color="5C6165"/>
        </w:rPr>
        <w:t>at</w:t>
      </w:r>
      <w:r w:rsidR="000C0104" w:rsidRPr="00BA72C3">
        <w:rPr>
          <w:w w:val="110"/>
          <w:u w:color="5C6165"/>
        </w:rPr>
        <w:t xml:space="preserve"> </w:t>
      </w:r>
      <w:r w:rsidR="00ED5C0D" w:rsidRPr="00BA72C3">
        <w:rPr>
          <w:w w:val="110"/>
          <w:u w:color="5C6165"/>
        </w:rPr>
        <w:t xml:space="preserve">each location. All fields will be managed following the farm-standard practices. The experiment will be initiated when the crop reaches </w:t>
      </w:r>
      <w:r w:rsidRPr="00BA72C3">
        <w:rPr>
          <w:w w:val="110"/>
          <w:u w:color="5C6165"/>
        </w:rPr>
        <w:t xml:space="preserve">6 to </w:t>
      </w:r>
      <w:r w:rsidR="00ED5C0D" w:rsidRPr="00BA72C3">
        <w:rPr>
          <w:w w:val="110"/>
          <w:u w:color="5C6165"/>
        </w:rPr>
        <w:t xml:space="preserve">8 ft tall, or no later than </w:t>
      </w:r>
      <w:r w:rsidRPr="00BA72C3">
        <w:rPr>
          <w:w w:val="110"/>
          <w:u w:color="5C6165"/>
        </w:rPr>
        <w:t>four weeks after training</w:t>
      </w:r>
      <w:r w:rsidR="00ED5C0D" w:rsidRPr="00BA72C3">
        <w:rPr>
          <w:w w:val="110"/>
          <w:u w:color="5C6165"/>
        </w:rPr>
        <w:t xml:space="preserve">. Treatments will be applied </w:t>
      </w:r>
      <w:r w:rsidR="00F65E7B" w:rsidRPr="00BA72C3">
        <w:rPr>
          <w:w w:val="110"/>
          <w:u w:color="5C6165"/>
        </w:rPr>
        <w:t>by</w:t>
      </w:r>
      <w:r w:rsidR="00ED5C0D" w:rsidRPr="00BA72C3">
        <w:rPr>
          <w:w w:val="110"/>
          <w:u w:color="5C6165"/>
        </w:rPr>
        <w:t xml:space="preserve"> back-pack sprayer calibrated to deliver 20 </w:t>
      </w:r>
      <w:r w:rsidR="00F65E7B" w:rsidRPr="00BA72C3">
        <w:rPr>
          <w:w w:val="110"/>
          <w:u w:color="5C6165"/>
        </w:rPr>
        <w:t>GPA and</w:t>
      </w:r>
      <w:r w:rsidR="00ED5C0D" w:rsidRPr="00BA72C3">
        <w:rPr>
          <w:w w:val="110"/>
          <w:u w:color="5C6165"/>
        </w:rPr>
        <w:t xml:space="preserve"> equipped with drift-reduction nozzles generating coarse droplets. </w:t>
      </w:r>
      <w:r w:rsidR="00F65E7B" w:rsidRPr="00BA72C3">
        <w:rPr>
          <w:w w:val="110"/>
          <w:u w:color="5C6165"/>
        </w:rPr>
        <w:t>A</w:t>
      </w:r>
      <w:r w:rsidR="00ED5C0D" w:rsidRPr="00BA72C3">
        <w:rPr>
          <w:w w:val="110"/>
          <w:u w:color="5C6165"/>
        </w:rPr>
        <w:t>pplication</w:t>
      </w:r>
      <w:r w:rsidR="00F65E7B" w:rsidRPr="00BA72C3">
        <w:rPr>
          <w:w w:val="110"/>
          <w:u w:color="5C6165"/>
        </w:rPr>
        <w:t>s</w:t>
      </w:r>
      <w:r w:rsidR="00ED5C0D" w:rsidRPr="00BA72C3">
        <w:rPr>
          <w:w w:val="110"/>
          <w:u w:color="5C6165"/>
        </w:rPr>
        <w:t xml:space="preserve"> will target the lower 2 ft of the plants. </w:t>
      </w:r>
      <w:r w:rsidRPr="00BA72C3">
        <w:rPr>
          <w:w w:val="110"/>
          <w:u w:color="5C6165"/>
        </w:rPr>
        <w:t>Each herbicide will be tested at three rates</w:t>
      </w:r>
      <w:r w:rsidR="000C0104" w:rsidRPr="000C0104">
        <w:rPr>
          <w:w w:val="110"/>
          <w:u w:color="5C6165"/>
        </w:rPr>
        <w:t xml:space="preserve"> </w:t>
      </w:r>
      <w:r w:rsidR="000C0104" w:rsidRPr="00BA72C3">
        <w:rPr>
          <w:w w:val="110"/>
          <w:u w:color="5C6165"/>
        </w:rPr>
        <w:t>in two sequential applications</w:t>
      </w:r>
      <w:r w:rsidRPr="00BA72C3">
        <w:rPr>
          <w:w w:val="110"/>
          <w:u w:color="5C6165"/>
        </w:rPr>
        <w:t xml:space="preserve">: 1X - equivalent to </w:t>
      </w:r>
      <w:r w:rsidR="00A833E1">
        <w:rPr>
          <w:w w:val="110"/>
          <w:u w:color="5C6165"/>
        </w:rPr>
        <w:t xml:space="preserve">the </w:t>
      </w:r>
      <w:r w:rsidRPr="00BA72C3">
        <w:rPr>
          <w:w w:val="110"/>
          <w:u w:color="5C6165"/>
        </w:rPr>
        <w:t xml:space="preserve">anticipated field rate, </w:t>
      </w:r>
      <w:r w:rsidR="00F65E7B" w:rsidRPr="00BA72C3">
        <w:rPr>
          <w:w w:val="110"/>
          <w:u w:color="5C6165"/>
        </w:rPr>
        <w:t xml:space="preserve">2X - </w:t>
      </w:r>
      <w:r w:rsidRPr="00BA72C3">
        <w:rPr>
          <w:w w:val="110"/>
          <w:u w:color="5C6165"/>
        </w:rPr>
        <w:t xml:space="preserve">twice the field rate, and </w:t>
      </w:r>
      <w:r w:rsidR="00F65E7B" w:rsidRPr="00BA72C3">
        <w:rPr>
          <w:w w:val="110"/>
          <w:u w:color="5C6165"/>
        </w:rPr>
        <w:t xml:space="preserve">4X - </w:t>
      </w:r>
      <w:r w:rsidRPr="00BA72C3">
        <w:rPr>
          <w:w w:val="110"/>
          <w:u w:color="5C6165"/>
        </w:rPr>
        <w:t>four</w:t>
      </w:r>
      <w:r w:rsidR="00F65E7B" w:rsidRPr="00BA72C3">
        <w:rPr>
          <w:w w:val="110"/>
          <w:u w:color="5C6165"/>
        </w:rPr>
        <w:t xml:space="preserve"> </w:t>
      </w:r>
      <w:r w:rsidRPr="00BA72C3">
        <w:rPr>
          <w:w w:val="110"/>
          <w:u w:color="5C6165"/>
        </w:rPr>
        <w:t xml:space="preserve">times the field rate. </w:t>
      </w:r>
      <w:r w:rsidR="000C0104">
        <w:rPr>
          <w:w w:val="110"/>
          <w:u w:color="5C6165"/>
        </w:rPr>
        <w:t>To identify the crop tolerance,</w:t>
      </w:r>
      <w:r w:rsidR="007C13EE">
        <w:rPr>
          <w:w w:val="110"/>
          <w:u w:color="5C6165"/>
        </w:rPr>
        <w:t xml:space="preserve"> </w:t>
      </w:r>
      <w:proofErr w:type="spellStart"/>
      <w:r w:rsidR="000C0104">
        <w:rPr>
          <w:w w:val="110"/>
          <w:u w:color="5C6165"/>
        </w:rPr>
        <w:t>florpyrauxifen</w:t>
      </w:r>
      <w:proofErr w:type="spellEnd"/>
      <w:r w:rsidR="007C13EE">
        <w:rPr>
          <w:w w:val="110"/>
          <w:u w:color="5C6165"/>
        </w:rPr>
        <w:t xml:space="preserve"> </w:t>
      </w:r>
      <w:r w:rsidR="000C0104">
        <w:rPr>
          <w:w w:val="110"/>
          <w:u w:color="5C6165"/>
        </w:rPr>
        <w:t xml:space="preserve">will be tested at </w:t>
      </w:r>
      <w:r w:rsidR="007C13EE">
        <w:rPr>
          <w:w w:val="110"/>
          <w:u w:color="5C6165"/>
        </w:rPr>
        <w:t xml:space="preserve">multiple rates ranging from 3 to 42 </w:t>
      </w:r>
      <w:proofErr w:type="spellStart"/>
      <w:r w:rsidR="007C13EE">
        <w:rPr>
          <w:w w:val="110"/>
          <w:u w:color="5C6165"/>
        </w:rPr>
        <w:t>fl</w:t>
      </w:r>
      <w:proofErr w:type="spellEnd"/>
      <w:r w:rsidR="007C13EE">
        <w:rPr>
          <w:w w:val="110"/>
          <w:u w:color="5C6165"/>
        </w:rPr>
        <w:t xml:space="preserve"> oz at two growth stages. </w:t>
      </w:r>
      <w:r w:rsidR="00C96FC5" w:rsidRPr="00BA72C3">
        <w:rPr>
          <w:w w:val="110"/>
          <w:u w:color="5C6165"/>
        </w:rPr>
        <w:t>All treatments will include an ammonium sulfate source and methylated seed oil adjuvant</w:t>
      </w:r>
      <w:r w:rsidR="00F65E7B" w:rsidRPr="00BA72C3">
        <w:rPr>
          <w:w w:val="110"/>
          <w:u w:color="5C6165"/>
        </w:rPr>
        <w:t>.</w:t>
      </w:r>
    </w:p>
    <w:p w14:paraId="1279D362" w14:textId="77777777" w:rsidR="00ED5C0D" w:rsidRPr="00BA72C3" w:rsidRDefault="00ED5C0D" w:rsidP="001E37B3">
      <w:pPr>
        <w:tabs>
          <w:tab w:val="left" w:pos="990"/>
        </w:tabs>
        <w:rPr>
          <w:noProof/>
          <w:w w:val="110"/>
        </w:rPr>
      </w:pPr>
    </w:p>
    <w:tbl>
      <w:tblPr>
        <w:tblStyle w:val="PlainTable2"/>
        <w:tblW w:w="10350" w:type="dxa"/>
        <w:tblLook w:val="04A0" w:firstRow="1" w:lastRow="0" w:firstColumn="1" w:lastColumn="0" w:noHBand="0" w:noVBand="1"/>
      </w:tblPr>
      <w:tblGrid>
        <w:gridCol w:w="3450"/>
        <w:gridCol w:w="3450"/>
        <w:gridCol w:w="3450"/>
      </w:tblGrid>
      <w:tr w:rsidR="0001303A" w:rsidRPr="00BA72C3" w14:paraId="6FD52BAB" w14:textId="546B6778" w:rsidTr="0001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3"/>
          </w:tcPr>
          <w:p w14:paraId="376D4B99" w14:textId="37FACC94" w:rsidR="0001303A" w:rsidRPr="00BA72C3" w:rsidRDefault="0001303A" w:rsidP="001E37B3">
            <w:pPr>
              <w:tabs>
                <w:tab w:val="left" w:pos="990"/>
              </w:tabs>
              <w:rPr>
                <w:noProof/>
                <w:w w:val="110"/>
                <w:sz w:val="21"/>
                <w:szCs w:val="21"/>
              </w:rPr>
            </w:pPr>
            <w:r w:rsidRPr="00BA72C3">
              <w:rPr>
                <w:noProof/>
                <w:w w:val="110"/>
                <w:sz w:val="21"/>
                <w:szCs w:val="21"/>
              </w:rPr>
              <w:t xml:space="preserve">Table 1. List of </w:t>
            </w:r>
            <w:r w:rsidR="00A833E1">
              <w:rPr>
                <w:noProof/>
                <w:w w:val="110"/>
                <w:sz w:val="21"/>
                <w:szCs w:val="21"/>
              </w:rPr>
              <w:t>herbicide active</w:t>
            </w:r>
            <w:r w:rsidR="009B2999" w:rsidRPr="00BA72C3">
              <w:rPr>
                <w:noProof/>
                <w:w w:val="110"/>
                <w:sz w:val="21"/>
                <w:szCs w:val="21"/>
              </w:rPr>
              <w:t xml:space="preserve"> ingredients, trade name, and proposed field rate for crop safety screening.</w:t>
            </w:r>
            <w:r w:rsidR="00CE7CDF" w:rsidRPr="00BA72C3">
              <w:rPr>
                <w:noProof/>
                <w:w w:val="110"/>
                <w:sz w:val="21"/>
                <w:szCs w:val="21"/>
              </w:rPr>
              <w:t xml:space="preserve"> </w:t>
            </w:r>
          </w:p>
        </w:tc>
      </w:tr>
      <w:tr w:rsidR="00C96FC5" w:rsidRPr="00BA72C3" w14:paraId="674D7AAC" w14:textId="76FA00B9" w:rsidTr="00C96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5FF93787" w14:textId="050B29A3" w:rsidR="00C96FC5" w:rsidRPr="00BA72C3" w:rsidRDefault="00C96FC5" w:rsidP="001E37B3">
            <w:pPr>
              <w:tabs>
                <w:tab w:val="left" w:pos="990"/>
              </w:tabs>
              <w:rPr>
                <w:noProof/>
                <w:w w:val="110"/>
                <w:sz w:val="21"/>
                <w:szCs w:val="21"/>
              </w:rPr>
            </w:pPr>
            <w:r w:rsidRPr="00BA72C3">
              <w:rPr>
                <w:noProof/>
                <w:w w:val="110"/>
                <w:sz w:val="21"/>
                <w:szCs w:val="21"/>
              </w:rPr>
              <w:t>Treatment</w:t>
            </w:r>
          </w:p>
        </w:tc>
        <w:tc>
          <w:tcPr>
            <w:tcW w:w="3450" w:type="dxa"/>
          </w:tcPr>
          <w:p w14:paraId="76D43259" w14:textId="66705BC6" w:rsidR="00C96FC5" w:rsidRPr="00BA72C3" w:rsidRDefault="00C96FC5" w:rsidP="001E37B3">
            <w:pPr>
              <w:tabs>
                <w:tab w:val="left" w:pos="990"/>
              </w:tabs>
              <w:cnfStyle w:val="000000100000" w:firstRow="0" w:lastRow="0" w:firstColumn="0" w:lastColumn="0" w:oddVBand="0" w:evenVBand="0" w:oddHBand="1" w:evenHBand="0" w:firstRowFirstColumn="0" w:firstRowLastColumn="0" w:lastRowFirstColumn="0" w:lastRowLastColumn="0"/>
              <w:rPr>
                <w:noProof/>
                <w:w w:val="110"/>
                <w:sz w:val="21"/>
                <w:szCs w:val="21"/>
              </w:rPr>
            </w:pPr>
            <w:r w:rsidRPr="00BA72C3">
              <w:rPr>
                <w:noProof/>
                <w:w w:val="110"/>
                <w:sz w:val="21"/>
                <w:szCs w:val="21"/>
              </w:rPr>
              <w:t>Trade name</w:t>
            </w:r>
          </w:p>
        </w:tc>
        <w:tc>
          <w:tcPr>
            <w:tcW w:w="3450" w:type="dxa"/>
          </w:tcPr>
          <w:p w14:paraId="459C6749" w14:textId="2203C96F" w:rsidR="00C96FC5" w:rsidRPr="00BA72C3" w:rsidRDefault="00C96FC5" w:rsidP="001E37B3">
            <w:pPr>
              <w:tabs>
                <w:tab w:val="left" w:pos="990"/>
              </w:tabs>
              <w:cnfStyle w:val="000000100000" w:firstRow="0" w:lastRow="0" w:firstColumn="0" w:lastColumn="0" w:oddVBand="0" w:evenVBand="0" w:oddHBand="1" w:evenHBand="0" w:firstRowFirstColumn="0" w:firstRowLastColumn="0" w:lastRowFirstColumn="0" w:lastRowLastColumn="0"/>
              <w:rPr>
                <w:noProof/>
                <w:w w:val="110"/>
                <w:sz w:val="21"/>
                <w:szCs w:val="21"/>
              </w:rPr>
            </w:pPr>
            <w:r w:rsidRPr="00BA72C3">
              <w:rPr>
                <w:noProof/>
                <w:w w:val="110"/>
                <w:sz w:val="21"/>
                <w:szCs w:val="21"/>
              </w:rPr>
              <w:t>Field rate (product)</w:t>
            </w:r>
          </w:p>
        </w:tc>
      </w:tr>
      <w:tr w:rsidR="00C96FC5" w:rsidRPr="00BA72C3" w14:paraId="4F10481F" w14:textId="6358C47A" w:rsidTr="00C96FC5">
        <w:tc>
          <w:tcPr>
            <w:cnfStyle w:val="001000000000" w:firstRow="0" w:lastRow="0" w:firstColumn="1" w:lastColumn="0" w:oddVBand="0" w:evenVBand="0" w:oddHBand="0" w:evenHBand="0" w:firstRowFirstColumn="0" w:firstRowLastColumn="0" w:lastRowFirstColumn="0" w:lastRowLastColumn="0"/>
            <w:tcW w:w="3450" w:type="dxa"/>
          </w:tcPr>
          <w:p w14:paraId="2BE3E6EB" w14:textId="34A27F7C" w:rsidR="00C96FC5" w:rsidRPr="00BA72C3" w:rsidRDefault="00C96FC5" w:rsidP="0001303A">
            <w:pPr>
              <w:tabs>
                <w:tab w:val="left" w:pos="990"/>
              </w:tabs>
              <w:rPr>
                <w:b w:val="0"/>
                <w:bCs w:val="0"/>
                <w:sz w:val="21"/>
                <w:szCs w:val="21"/>
              </w:rPr>
            </w:pPr>
            <w:r w:rsidRPr="00BA72C3">
              <w:rPr>
                <w:b w:val="0"/>
                <w:bCs w:val="0"/>
                <w:sz w:val="21"/>
                <w:szCs w:val="21"/>
              </w:rPr>
              <w:t>Florpyrauxifen-benzyl (4)</w:t>
            </w:r>
          </w:p>
        </w:tc>
        <w:tc>
          <w:tcPr>
            <w:tcW w:w="3450" w:type="dxa"/>
          </w:tcPr>
          <w:p w14:paraId="611E861C" w14:textId="2EB3AC62" w:rsidR="00C96FC5" w:rsidRPr="00BA72C3" w:rsidRDefault="00C96FC5" w:rsidP="0001303A">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BA72C3">
              <w:rPr>
                <w:sz w:val="21"/>
                <w:szCs w:val="21"/>
              </w:rPr>
              <w:t>Loyant</w:t>
            </w:r>
          </w:p>
        </w:tc>
        <w:tc>
          <w:tcPr>
            <w:tcW w:w="3450" w:type="dxa"/>
          </w:tcPr>
          <w:p w14:paraId="6B0BB79C" w14:textId="701942CD" w:rsidR="00C96FC5" w:rsidRPr="00BA72C3" w:rsidRDefault="007C13EE" w:rsidP="0001303A">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3 to 21 </w:t>
            </w:r>
            <w:proofErr w:type="spellStart"/>
            <w:r>
              <w:rPr>
                <w:sz w:val="21"/>
                <w:szCs w:val="21"/>
              </w:rPr>
              <w:t>fl</w:t>
            </w:r>
            <w:proofErr w:type="spellEnd"/>
            <w:r>
              <w:rPr>
                <w:sz w:val="21"/>
                <w:szCs w:val="21"/>
              </w:rPr>
              <w:t xml:space="preserve"> oz</w:t>
            </w:r>
          </w:p>
        </w:tc>
      </w:tr>
      <w:tr w:rsidR="00C96FC5" w:rsidRPr="00BA72C3" w14:paraId="58EB0C84" w14:textId="01D767F4" w:rsidTr="00C96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070BDBD2" w14:textId="0C90CB01" w:rsidR="00C96FC5" w:rsidRPr="00BA72C3" w:rsidRDefault="00C96FC5" w:rsidP="009B2999">
            <w:pPr>
              <w:tabs>
                <w:tab w:val="left" w:pos="990"/>
              </w:tabs>
              <w:rPr>
                <w:b w:val="0"/>
                <w:bCs w:val="0"/>
                <w:sz w:val="21"/>
                <w:szCs w:val="21"/>
              </w:rPr>
            </w:pPr>
            <w:r w:rsidRPr="00BA72C3">
              <w:rPr>
                <w:b w:val="0"/>
                <w:bCs w:val="0"/>
                <w:sz w:val="21"/>
                <w:szCs w:val="21"/>
              </w:rPr>
              <w:t>Tiafenacil (14)</w:t>
            </w:r>
          </w:p>
        </w:tc>
        <w:tc>
          <w:tcPr>
            <w:tcW w:w="3450" w:type="dxa"/>
          </w:tcPr>
          <w:p w14:paraId="6CFCB91D" w14:textId="7E23946F" w:rsidR="00C96FC5" w:rsidRPr="00BA72C3" w:rsidRDefault="00C96FC5" w:rsidP="009B2999">
            <w:pPr>
              <w:tabs>
                <w:tab w:val="left" w:pos="990"/>
              </w:tabs>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BA72C3">
              <w:rPr>
                <w:sz w:val="21"/>
                <w:szCs w:val="21"/>
              </w:rPr>
              <w:t>Reviton</w:t>
            </w:r>
            <w:proofErr w:type="spellEnd"/>
          </w:p>
        </w:tc>
        <w:tc>
          <w:tcPr>
            <w:tcW w:w="3450" w:type="dxa"/>
          </w:tcPr>
          <w:p w14:paraId="365685B9" w14:textId="4EA22802" w:rsidR="00C96FC5" w:rsidRPr="00BA72C3" w:rsidRDefault="00C96FC5" w:rsidP="009B2999">
            <w:pPr>
              <w:tabs>
                <w:tab w:val="left" w:pos="990"/>
              </w:tabs>
              <w:cnfStyle w:val="000000100000" w:firstRow="0" w:lastRow="0" w:firstColumn="0" w:lastColumn="0" w:oddVBand="0" w:evenVBand="0" w:oddHBand="1" w:evenHBand="0" w:firstRowFirstColumn="0" w:firstRowLastColumn="0" w:lastRowFirstColumn="0" w:lastRowLastColumn="0"/>
              <w:rPr>
                <w:sz w:val="21"/>
                <w:szCs w:val="21"/>
              </w:rPr>
            </w:pPr>
            <w:r w:rsidRPr="00BA72C3">
              <w:rPr>
                <w:sz w:val="21"/>
                <w:szCs w:val="21"/>
              </w:rPr>
              <w:t>0.08 lb ai (3 fl oz)</w:t>
            </w:r>
          </w:p>
        </w:tc>
      </w:tr>
      <w:tr w:rsidR="00C96FC5" w:rsidRPr="00BA72C3" w14:paraId="2A34BEAE" w14:textId="1F1459BF" w:rsidTr="00C96FC5">
        <w:tc>
          <w:tcPr>
            <w:cnfStyle w:val="001000000000" w:firstRow="0" w:lastRow="0" w:firstColumn="1" w:lastColumn="0" w:oddVBand="0" w:evenVBand="0" w:oddHBand="0" w:evenHBand="0" w:firstRowFirstColumn="0" w:firstRowLastColumn="0" w:lastRowFirstColumn="0" w:lastRowLastColumn="0"/>
            <w:tcW w:w="3450" w:type="dxa"/>
          </w:tcPr>
          <w:p w14:paraId="37CA6183" w14:textId="53125086" w:rsidR="00C96FC5" w:rsidRPr="00BA72C3" w:rsidRDefault="00C96FC5" w:rsidP="009B2999">
            <w:pPr>
              <w:tabs>
                <w:tab w:val="left" w:pos="990"/>
              </w:tabs>
              <w:rPr>
                <w:b w:val="0"/>
                <w:bCs w:val="0"/>
                <w:sz w:val="21"/>
                <w:szCs w:val="21"/>
              </w:rPr>
            </w:pPr>
            <w:r w:rsidRPr="00BA72C3">
              <w:rPr>
                <w:b w:val="0"/>
                <w:bCs w:val="0"/>
                <w:sz w:val="21"/>
                <w:szCs w:val="21"/>
              </w:rPr>
              <w:t>Tolpyralate (27)</w:t>
            </w:r>
          </w:p>
        </w:tc>
        <w:tc>
          <w:tcPr>
            <w:tcW w:w="3450" w:type="dxa"/>
          </w:tcPr>
          <w:p w14:paraId="6A0B9E20" w14:textId="1AF54CE2" w:rsidR="00C96FC5" w:rsidRPr="00BA72C3" w:rsidRDefault="00C96FC5" w:rsidP="009B2999">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BA72C3">
              <w:rPr>
                <w:sz w:val="21"/>
                <w:szCs w:val="21"/>
              </w:rPr>
              <w:t>Shieldex</w:t>
            </w:r>
          </w:p>
        </w:tc>
        <w:tc>
          <w:tcPr>
            <w:tcW w:w="3450" w:type="dxa"/>
          </w:tcPr>
          <w:p w14:paraId="5ABE3306" w14:textId="4F932CE7" w:rsidR="00C96FC5" w:rsidRPr="00BA72C3" w:rsidRDefault="00C96FC5" w:rsidP="009B2999">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BA72C3">
              <w:rPr>
                <w:sz w:val="21"/>
                <w:szCs w:val="21"/>
              </w:rPr>
              <w:t>0.026 lb ai (1.3 fl oz)</w:t>
            </w:r>
          </w:p>
        </w:tc>
      </w:tr>
    </w:tbl>
    <w:p w14:paraId="480F1B48" w14:textId="3FC8D89A" w:rsidR="00137589" w:rsidRPr="00BA72C3" w:rsidRDefault="00137589" w:rsidP="001E37B3">
      <w:pPr>
        <w:tabs>
          <w:tab w:val="left" w:pos="990"/>
        </w:tabs>
      </w:pPr>
    </w:p>
    <w:p w14:paraId="7E8306BC" w14:textId="5A8955D7" w:rsidR="00003822" w:rsidRPr="00BA72C3" w:rsidRDefault="00ED5C0D" w:rsidP="001E37B3">
      <w:r w:rsidRPr="00BA72C3">
        <w:t>The experimental unit (plot) will include three hop plants (six strings). Treatments will be arranged in a randomized complete block design with four replicates</w:t>
      </w:r>
      <w:r w:rsidR="00267505" w:rsidRPr="00BA72C3">
        <w:t>; they will be</w:t>
      </w:r>
      <w:r w:rsidRPr="00BA72C3">
        <w:t xml:space="preserve"> repeated in the following season. Evaluations will include visual estimation of </w:t>
      </w:r>
      <w:proofErr w:type="spellStart"/>
      <w:r w:rsidR="00126276">
        <w:t>bsal</w:t>
      </w:r>
      <w:proofErr w:type="spellEnd"/>
      <w:r w:rsidR="00126276">
        <w:t xml:space="preserve"> hop control</w:t>
      </w:r>
      <w:r w:rsidRPr="00BA72C3">
        <w:t xml:space="preserve"> in the treated zone (hop base), and above the treated </w:t>
      </w:r>
      <w:r w:rsidR="00A833E1" w:rsidRPr="00126276">
        <w:t>area</w:t>
      </w:r>
      <w:r w:rsidRPr="00126276">
        <w:t xml:space="preserve"> (crop injury),</w:t>
      </w:r>
      <w:r w:rsidRPr="00BA72C3">
        <w:t xml:space="preserve"> and crop height, internodal length, number of internodes, and length of primary and lateral branches. Leaf chlorophyll content will be measured using a non-destructive sample based on chlorophyll fluoresce ratio F735/F700 (Gitelson et al. 1999). Assessments will be made during the growing season at 1, 2, 4, 8, </w:t>
      </w:r>
      <w:r w:rsidR="00C96FC5" w:rsidRPr="00BA72C3">
        <w:t xml:space="preserve">10, </w:t>
      </w:r>
      <w:r w:rsidRPr="00BA72C3">
        <w:t>12</w:t>
      </w:r>
      <w:r w:rsidR="00C96FC5" w:rsidRPr="00BA72C3">
        <w:t>, and 16</w:t>
      </w:r>
      <w:r w:rsidRPr="00BA72C3">
        <w:t xml:space="preserve"> weeks after treatment. </w:t>
      </w:r>
      <w:r w:rsidR="00C96FC5" w:rsidRPr="00BA72C3">
        <w:t xml:space="preserve">Plants will be harvested using </w:t>
      </w:r>
      <w:r w:rsidR="00267505" w:rsidRPr="00BA72C3">
        <w:t xml:space="preserve">a </w:t>
      </w:r>
      <w:r w:rsidR="00C96FC5" w:rsidRPr="00BA72C3">
        <w:t>commercial picker (5p, HopsHarvester, Honeoye Falls, NY)</w:t>
      </w:r>
      <w:r w:rsidRPr="00BA72C3">
        <w:t xml:space="preserve">. Data will be submitted to ANOVA and means compared by </w:t>
      </w:r>
      <w:r w:rsidR="00EC7B4D">
        <w:t>Tukey's</w:t>
      </w:r>
      <w:r w:rsidRPr="00BA72C3">
        <w:t xml:space="preserve"> test.</w:t>
      </w:r>
      <w:r w:rsidR="00C96FC5" w:rsidRPr="00BA72C3">
        <w:t xml:space="preserve"> </w:t>
      </w:r>
      <w:r w:rsidR="00003822" w:rsidRPr="00BA72C3">
        <w:t>Funds for</w:t>
      </w:r>
      <w:r w:rsidR="00267505" w:rsidRPr="00BA72C3">
        <w:t xml:space="preserve"> </w:t>
      </w:r>
      <w:r w:rsidR="00A833E1">
        <w:t xml:space="preserve">the </w:t>
      </w:r>
      <w:r w:rsidR="00267505" w:rsidRPr="00BA72C3">
        <w:t>establishment of</w:t>
      </w:r>
      <w:r w:rsidR="00003822" w:rsidRPr="00BA72C3">
        <w:t xml:space="preserve"> a research hop yard </w:t>
      </w:r>
      <w:r w:rsidR="00267505" w:rsidRPr="00BA72C3">
        <w:t xml:space="preserve">to be built at OSUs Lewis Brown Farm </w:t>
      </w:r>
      <w:r w:rsidR="00003822" w:rsidRPr="00BA72C3">
        <w:t>are being requested this year. A</w:t>
      </w:r>
      <w:r w:rsidR="00C96FC5" w:rsidRPr="00BA72C3">
        <w:t xml:space="preserve"> plot of 1 </w:t>
      </w:r>
      <w:r w:rsidR="00003822" w:rsidRPr="00BA72C3">
        <w:t xml:space="preserve">acre </w:t>
      </w:r>
      <w:r w:rsidR="00C96FC5" w:rsidRPr="00BA72C3">
        <w:t>is being prepared for a short</w:t>
      </w:r>
      <w:r w:rsidR="00A833E1">
        <w:t>-</w:t>
      </w:r>
      <w:r w:rsidR="00C96FC5" w:rsidRPr="00BA72C3">
        <w:t>trellis yard installation at Lewis Brown farm.</w:t>
      </w:r>
      <w:r w:rsidR="00CE7CDF" w:rsidRPr="00BA72C3">
        <w:t xml:space="preserve"> </w:t>
      </w:r>
    </w:p>
    <w:p w14:paraId="6E781633" w14:textId="0C7BDBD9" w:rsidR="00BA72C3" w:rsidRPr="00BA72C3" w:rsidRDefault="00BA72C3" w:rsidP="00126276">
      <w:pPr>
        <w:pStyle w:val="ListParagraph"/>
        <w:numPr>
          <w:ilvl w:val="0"/>
          <w:numId w:val="26"/>
        </w:numPr>
      </w:pPr>
      <w:r w:rsidRPr="00BA72C3">
        <w:t>To assess tiafenacil and glufosinate for spring pruning or crowning of hops.</w:t>
      </w:r>
    </w:p>
    <w:p w14:paraId="0FF885D0" w14:textId="2FA583A0" w:rsidR="00BA72C3" w:rsidRPr="00BA72C3" w:rsidRDefault="00BA72C3" w:rsidP="00BA72C3">
      <w:r>
        <w:t xml:space="preserve">Spring pruning or crowning is an essential production practice to maximize yield in hops and reduce powdery mildew </w:t>
      </w:r>
      <w:r w:rsidR="00523311">
        <w:t>(</w:t>
      </w:r>
      <w:proofErr w:type="spellStart"/>
      <w:r w:rsidR="00523311" w:rsidRPr="00523311">
        <w:rPr>
          <w:i/>
          <w:iCs/>
        </w:rPr>
        <w:t>Podosphaera</w:t>
      </w:r>
      <w:proofErr w:type="spellEnd"/>
      <w:r w:rsidR="00523311" w:rsidRPr="00523311">
        <w:rPr>
          <w:i/>
          <w:iCs/>
        </w:rPr>
        <w:t xml:space="preserve"> </w:t>
      </w:r>
      <w:proofErr w:type="spellStart"/>
      <w:r w:rsidR="00523311" w:rsidRPr="00523311">
        <w:rPr>
          <w:i/>
          <w:iCs/>
        </w:rPr>
        <w:t>macularis</w:t>
      </w:r>
      <w:proofErr w:type="spellEnd"/>
      <w:r w:rsidR="00523311">
        <w:t>)</w:t>
      </w:r>
      <w:r w:rsidR="0018516A">
        <w:t xml:space="preserve"> </w:t>
      </w:r>
      <w:r w:rsidR="0018516A">
        <w:fldChar w:fldCharType="begin"/>
      </w:r>
      <w:r w:rsidR="0018516A">
        <w:instrText xml:space="preserve"> ADDIN EN.CITE &lt;EndNote&gt;&lt;Cite&gt;&lt;Author&gt;Probst&lt;/Author&gt;&lt;Year&gt;2016&lt;/Year&gt;&lt;RecNum&gt;1586&lt;/RecNum&gt;&lt;DisplayText&gt;(Probst et al. 2016)&lt;/DisplayText&gt;&lt;record&gt;&lt;rec-number&gt;1586&lt;/rec-number&gt;&lt;foreign-keys&gt;&lt;key app="EN" db-id="90p90tfe2drwpveswrtx2wdndte5ess5awpw" timestamp="1599170298"&gt;1586&lt;/key&gt;&lt;/foreign-keys&gt;&lt;ref-type name="Journal Article"&gt;17&lt;/ref-type&gt;&lt;contributors&gt;&lt;authors&gt;&lt;author&gt;Probst, Claudia&lt;/author&gt;&lt;author&gt;Nelson, Mark E&lt;/author&gt;&lt;author&gt;Grove, Gary G&lt;/author&gt;&lt;author&gt;Twomey, Megan C&lt;/author&gt;&lt;author&gt;Gent, David H&lt;/author&gt;&lt;/authors&gt;&lt;/contributors&gt;&lt;titles&gt;&lt;title&gt;Hop powdery mildew control through alteration of spring pruning practices&lt;/title&gt;&lt;secondary-title&gt;Plant Disease&lt;/secondary-title&gt;&lt;/titles&gt;&lt;periodical&gt;&lt;full-title&gt;Plant Disease&lt;/full-title&gt;&lt;/periodical&gt;&lt;pages&gt;1599-1605&lt;/pages&gt;&lt;volume&gt;100&lt;/volume&gt;&lt;number&gt;8&lt;/number&gt;&lt;dates&gt;&lt;year&gt;2016&lt;/year&gt;&lt;/dates&gt;&lt;isbn&gt;0191-2917&lt;/isbn&gt;&lt;urls&gt;&lt;/urls&gt;&lt;/record&gt;&lt;/Cite&gt;&lt;/EndNote&gt;</w:instrText>
      </w:r>
      <w:r w:rsidR="0018516A">
        <w:fldChar w:fldCharType="separate"/>
      </w:r>
      <w:r w:rsidR="0018516A">
        <w:rPr>
          <w:noProof/>
        </w:rPr>
        <w:t>(Probst et al. 2016)</w:t>
      </w:r>
      <w:r w:rsidR="0018516A">
        <w:fldChar w:fldCharType="end"/>
      </w:r>
      <w:r w:rsidR="0018516A">
        <w:t xml:space="preserve">. </w:t>
      </w:r>
      <w:r w:rsidR="006C07E3">
        <w:t>The 2021 visual estimates of crop injury suggest that both tiafenacil and glufosinate</w:t>
      </w:r>
      <w:r w:rsidR="0018516A">
        <w:t xml:space="preserve"> </w:t>
      </w:r>
      <w:r w:rsidR="006C07E3">
        <w:t xml:space="preserve">are safe when applied </w:t>
      </w:r>
      <w:r w:rsidR="00C00CC2">
        <w:t>in the spring over the top of cv. ‘</w:t>
      </w:r>
      <w:r w:rsidR="006C07E3">
        <w:t>Nugget</w:t>
      </w:r>
      <w:r w:rsidR="00C00CC2">
        <w:t>’</w:t>
      </w:r>
      <w:r w:rsidR="006C07E3">
        <w:t xml:space="preserve"> hops. Crop height and yield are being monitored. </w:t>
      </w:r>
      <w:r w:rsidR="0018516A">
        <w:t xml:space="preserve">A field study will be conducted </w:t>
      </w:r>
      <w:r w:rsidR="006C07E3">
        <w:t xml:space="preserve">at Lewis Brown </w:t>
      </w:r>
      <w:r w:rsidR="00C00CC2">
        <w:t>Research F</w:t>
      </w:r>
      <w:r w:rsidR="006C07E3">
        <w:t>arm</w:t>
      </w:r>
      <w:r w:rsidR="0018516A">
        <w:t xml:space="preserve">, </w:t>
      </w:r>
      <w:r w:rsidR="00C00CC2">
        <w:t xml:space="preserve">Corvallis </w:t>
      </w:r>
      <w:r w:rsidR="0018516A">
        <w:t>OR</w:t>
      </w:r>
      <w:r w:rsidR="00A833E1">
        <w:t>,</w:t>
      </w:r>
      <w:r w:rsidR="0018516A">
        <w:t xml:space="preserve"> </w:t>
      </w:r>
      <w:r w:rsidR="006C07E3">
        <w:t xml:space="preserve">in 2022 </w:t>
      </w:r>
      <w:r w:rsidR="0018516A">
        <w:t>to evaluate glufosinate, tiafenacil</w:t>
      </w:r>
      <w:r w:rsidR="006C07E3">
        <w:t xml:space="preserve"> and tiafenacil over two consecutive seasons</w:t>
      </w:r>
      <w:r w:rsidR="00617034">
        <w:t xml:space="preserve">. Crop desiccation and weed control will </w:t>
      </w:r>
      <w:r w:rsidR="00A833E1">
        <w:t>be assessed</w:t>
      </w:r>
      <w:r w:rsidR="00617034">
        <w:t xml:space="preserve"> 2 and 4 weeks later. Hop shoot length and soil coverage will be recorded. Plants will be trained, and bine growth and plant development will be evaluated monthly. The experiment will be organized as </w:t>
      </w:r>
      <w:r w:rsidR="00A833E1">
        <w:t xml:space="preserve">a </w:t>
      </w:r>
      <w:r w:rsidR="00617034">
        <w:t>randomized complete block with four replicates</w:t>
      </w:r>
      <w:r w:rsidR="006C07E3">
        <w:t xml:space="preserve"> and </w:t>
      </w:r>
      <w:r w:rsidR="00C00CC2">
        <w:t xml:space="preserve">will be </w:t>
      </w:r>
      <w:r w:rsidR="006C07E3">
        <w:t>repeated in 2023</w:t>
      </w:r>
      <w:r w:rsidR="00617034">
        <w:t xml:space="preserve">. </w:t>
      </w:r>
    </w:p>
    <w:p w14:paraId="72898F31" w14:textId="77777777" w:rsidR="00A470B9" w:rsidRPr="00BA72C3" w:rsidRDefault="00A470B9" w:rsidP="001E37B3"/>
    <w:p w14:paraId="64533BE0" w14:textId="77777777" w:rsidR="002D725F" w:rsidRPr="00BA72C3" w:rsidRDefault="002D725F" w:rsidP="001E37B3">
      <w:pPr>
        <w:rPr>
          <w:b/>
        </w:rPr>
      </w:pPr>
      <w:r w:rsidRPr="00BA72C3">
        <w:rPr>
          <w:b/>
        </w:rPr>
        <w:t>Outcomes:</w:t>
      </w:r>
    </w:p>
    <w:p w14:paraId="21148418" w14:textId="2CF4A647" w:rsidR="002D725F" w:rsidRPr="00BA72C3" w:rsidRDefault="00ED5C0D" w:rsidP="001E37B3">
      <w:r w:rsidRPr="00BA72C3">
        <w:t xml:space="preserve">The findings of this project will identify new </w:t>
      </w:r>
      <w:r w:rsidR="00267505" w:rsidRPr="00BA72C3">
        <w:t xml:space="preserve">herbicidal </w:t>
      </w:r>
      <w:r w:rsidRPr="00BA72C3">
        <w:t>active ingredients and site</w:t>
      </w:r>
      <w:r w:rsidR="00267505" w:rsidRPr="00BA72C3">
        <w:t>s</w:t>
      </w:r>
      <w:r w:rsidRPr="00BA72C3">
        <w:t>-</w:t>
      </w:r>
      <w:r w:rsidR="00C00CC2" w:rsidRPr="00BA72C3">
        <w:t>of</w:t>
      </w:r>
      <w:r w:rsidR="00C00CC2">
        <w:t>-</w:t>
      </w:r>
      <w:r w:rsidRPr="00BA72C3">
        <w:t>action</w:t>
      </w:r>
      <w:r w:rsidR="00267505" w:rsidRPr="00BA72C3">
        <w:t xml:space="preserve"> </w:t>
      </w:r>
      <w:r w:rsidR="00C00CC2">
        <w:t xml:space="preserve">to be labeled </w:t>
      </w:r>
      <w:r w:rsidR="00267505" w:rsidRPr="00BA72C3">
        <w:t>for use</w:t>
      </w:r>
      <w:r w:rsidRPr="00BA72C3">
        <w:t xml:space="preserve"> in hops. </w:t>
      </w:r>
      <w:r w:rsidR="00267505" w:rsidRPr="00BA72C3">
        <w:t>Additional</w:t>
      </w:r>
      <w:r w:rsidRPr="00BA72C3">
        <w:t xml:space="preserve"> herbicides will provide growers new tools to manage difficult to control weeds and reduce herbicide resistance selection pressure. In preparation for this project, the commercial, regulatory, and biology representatives from Corteva</w:t>
      </w:r>
      <w:r w:rsidR="006C07E3">
        <w:t xml:space="preserve">, BASF, and </w:t>
      </w:r>
      <w:r w:rsidRPr="00BA72C3">
        <w:t>ISK</w:t>
      </w:r>
      <w:r w:rsidR="00267505" w:rsidRPr="00BA72C3">
        <w:t>,</w:t>
      </w:r>
      <w:r w:rsidRPr="00BA72C3">
        <w:t xml:space="preserve"> the registrants of the </w:t>
      </w:r>
      <w:r w:rsidR="00C00CC2" w:rsidRPr="00BA72C3">
        <w:t xml:space="preserve">previously listed </w:t>
      </w:r>
      <w:r w:rsidRPr="00BA72C3">
        <w:t xml:space="preserve">active ingredients, were consulted. </w:t>
      </w:r>
      <w:r w:rsidR="00C00CC2">
        <w:t xml:space="preserve">ISK and BASF representatives visited </w:t>
      </w:r>
      <w:r w:rsidR="006C07E3">
        <w:t xml:space="preserve">research plots in 2021. </w:t>
      </w:r>
      <w:r w:rsidRPr="00BA72C3">
        <w:t xml:space="preserve">The registrants are supportive of </w:t>
      </w:r>
      <w:r w:rsidR="00C00CC2" w:rsidRPr="00BA72C3">
        <w:t>th</w:t>
      </w:r>
      <w:r w:rsidR="00C00CC2">
        <w:t>is</w:t>
      </w:r>
      <w:r w:rsidR="00C00CC2" w:rsidRPr="00BA72C3">
        <w:t xml:space="preserve"> </w:t>
      </w:r>
      <w:r w:rsidRPr="00BA72C3">
        <w:t>work and will be involved through</w:t>
      </w:r>
      <w:r w:rsidR="00C00CC2">
        <w:t>out</w:t>
      </w:r>
      <w:r w:rsidRPr="00BA72C3">
        <w:t xml:space="preserve"> the research process to ensure the required data is generated for </w:t>
      </w:r>
      <w:r w:rsidR="00267505" w:rsidRPr="00BA72C3">
        <w:t xml:space="preserve">potential </w:t>
      </w:r>
      <w:r w:rsidRPr="00BA72C3">
        <w:t>registration of compatible active ingredients. If and when appropriate, the IR-4 program will be involved</w:t>
      </w:r>
      <w:r w:rsidR="00267505" w:rsidRPr="00BA72C3">
        <w:t>,</w:t>
      </w:r>
      <w:r w:rsidRPr="00BA72C3">
        <w:t xml:space="preserve"> as the project PI is </w:t>
      </w:r>
      <w:r w:rsidR="00A833E1">
        <w:t>actively engaged</w:t>
      </w:r>
      <w:r w:rsidRPr="00BA72C3">
        <w:t xml:space="preserve"> in </w:t>
      </w:r>
      <w:r w:rsidR="00267505" w:rsidRPr="00BA72C3">
        <w:t>IR4</w:t>
      </w:r>
      <w:r w:rsidRPr="00BA72C3">
        <w:t xml:space="preserve"> activities in the Pacific Northwest.</w:t>
      </w:r>
    </w:p>
    <w:p w14:paraId="6385D092" w14:textId="77777777" w:rsidR="00C96FC5" w:rsidRPr="00BA72C3" w:rsidRDefault="00C96FC5" w:rsidP="001E37B3"/>
    <w:p w14:paraId="2B1C6104" w14:textId="393B1BDD" w:rsidR="002D725F" w:rsidRPr="00BA72C3" w:rsidRDefault="002D725F" w:rsidP="001E37B3">
      <w:pPr>
        <w:rPr>
          <w:b/>
        </w:rPr>
      </w:pPr>
      <w:r w:rsidRPr="00BA72C3">
        <w:rPr>
          <w:b/>
        </w:rPr>
        <w:t>Extension and Outreach activities:</w:t>
      </w:r>
    </w:p>
    <w:p w14:paraId="2BA8C421" w14:textId="77777777" w:rsidR="00D72C1D" w:rsidRPr="00BA72C3" w:rsidRDefault="00D72C1D" w:rsidP="001E37B3">
      <w:pPr>
        <w:rPr>
          <w:b/>
        </w:rPr>
      </w:pPr>
    </w:p>
    <w:p w14:paraId="162F0A3F" w14:textId="1C36F464" w:rsidR="00C83BBA" w:rsidRPr="00BA72C3" w:rsidRDefault="00267505" w:rsidP="001E37B3">
      <w:r w:rsidRPr="00BA72C3">
        <w:t>R</w:t>
      </w:r>
      <w:r w:rsidR="00003822" w:rsidRPr="00BA72C3">
        <w:t xml:space="preserve">esearch findings </w:t>
      </w:r>
      <w:r w:rsidRPr="00BA72C3">
        <w:t>become the basis of</w:t>
      </w:r>
      <w:r w:rsidR="00003822" w:rsidRPr="00BA72C3">
        <w:t xml:space="preserve"> new weed management recommendations</w:t>
      </w:r>
      <w:r w:rsidRPr="00BA72C3">
        <w:t xml:space="preserve"> </w:t>
      </w:r>
      <w:r w:rsidR="00821D94">
        <w:t>to</w:t>
      </w:r>
      <w:r w:rsidRPr="00BA72C3">
        <w:t xml:space="preserve"> be disseminated through the PNW Weed Control Handbook</w:t>
      </w:r>
      <w:r w:rsidR="00003822" w:rsidRPr="00BA72C3">
        <w:t>. Information will be shared during the Hop Research Council and other events. However, the registration of a new herbicide is a long-term process</w:t>
      </w:r>
      <w:r w:rsidRPr="00BA72C3">
        <w:t xml:space="preserve">, and </w:t>
      </w:r>
      <w:r w:rsidR="00A833E1">
        <w:t xml:space="preserve">the </w:t>
      </w:r>
      <w:r w:rsidRPr="00BA72C3">
        <w:t xml:space="preserve">release of this information to the industry </w:t>
      </w:r>
      <w:r w:rsidR="00821D94">
        <w:t>take place upon completion of any registrations.</w:t>
      </w:r>
    </w:p>
    <w:p w14:paraId="35C30E8F" w14:textId="77777777" w:rsidR="00003822" w:rsidRPr="00BA72C3" w:rsidRDefault="00003822" w:rsidP="001E37B3">
      <w:pPr>
        <w:rPr>
          <w:b/>
        </w:rPr>
      </w:pPr>
    </w:p>
    <w:p w14:paraId="25A8C577" w14:textId="31323656" w:rsidR="00C83BBA" w:rsidRPr="00BA72C3" w:rsidRDefault="00B5128A" w:rsidP="001E37B3">
      <w:pPr>
        <w:rPr>
          <w:b/>
          <w:noProof/>
        </w:rPr>
      </w:pPr>
      <w:r w:rsidRPr="00BA72C3">
        <w:rPr>
          <w:b/>
          <w:noProof/>
        </w:rPr>
        <w:t>Time-</w:t>
      </w:r>
      <w:r w:rsidR="00C83BBA" w:rsidRPr="00BA72C3">
        <w:rPr>
          <w:b/>
          <w:noProof/>
        </w:rPr>
        <w:t>frame</w:t>
      </w:r>
      <w:r w:rsidR="000C113F" w:rsidRPr="00BA72C3">
        <w:rPr>
          <w:b/>
          <w:noProof/>
        </w:rPr>
        <w:t xml:space="preserve"> </w:t>
      </w:r>
    </w:p>
    <w:p w14:paraId="6E5B3D8F" w14:textId="77777777" w:rsidR="00003822" w:rsidRPr="00BA72C3" w:rsidRDefault="00003822" w:rsidP="001E37B3">
      <w:pPr>
        <w:rPr>
          <w:b/>
          <w:noProof/>
        </w:rPr>
      </w:pPr>
    </w:p>
    <w:p w14:paraId="26E0FE35" w14:textId="0405BEE2" w:rsidR="00B5128A" w:rsidRPr="00BA72C3" w:rsidRDefault="00003822" w:rsidP="001E37B3">
      <w:pPr>
        <w:rPr>
          <w:noProof/>
        </w:rPr>
      </w:pPr>
      <w:r w:rsidRPr="00BA72C3">
        <w:rPr>
          <w:noProof/>
        </w:rPr>
        <w:t xml:space="preserve">The research for the </w:t>
      </w:r>
      <w:r w:rsidR="00BA72C3" w:rsidRPr="00BA72C3">
        <w:rPr>
          <w:noProof/>
        </w:rPr>
        <w:t>second</w:t>
      </w:r>
      <w:r w:rsidRPr="00BA72C3">
        <w:rPr>
          <w:noProof/>
        </w:rPr>
        <w:t xml:space="preserve"> year of study will be conducted from March 202</w:t>
      </w:r>
      <w:r w:rsidR="006C07E3">
        <w:rPr>
          <w:noProof/>
        </w:rPr>
        <w:t>2</w:t>
      </w:r>
      <w:r w:rsidRPr="00BA72C3">
        <w:rPr>
          <w:noProof/>
        </w:rPr>
        <w:t xml:space="preserve"> to </w:t>
      </w:r>
      <w:r w:rsidR="00BA72C3" w:rsidRPr="00BA72C3">
        <w:rPr>
          <w:noProof/>
        </w:rPr>
        <w:t>October</w:t>
      </w:r>
      <w:r w:rsidRPr="00BA72C3">
        <w:rPr>
          <w:noProof/>
        </w:rPr>
        <w:t xml:space="preserve"> 202</w:t>
      </w:r>
      <w:r w:rsidR="006C07E3">
        <w:rPr>
          <w:noProof/>
        </w:rPr>
        <w:t>2</w:t>
      </w:r>
      <w:r w:rsidRPr="00BA72C3">
        <w:rPr>
          <w:noProof/>
        </w:rPr>
        <w:t>. Data analysis and reporting will be available for the Hop Research Council by the end of the calendar year 202</w:t>
      </w:r>
      <w:r w:rsidR="006C07E3">
        <w:rPr>
          <w:noProof/>
        </w:rPr>
        <w:t>2</w:t>
      </w:r>
      <w:r w:rsidRPr="00BA72C3">
        <w:rPr>
          <w:noProof/>
        </w:rPr>
        <w:t>.</w:t>
      </w:r>
    </w:p>
    <w:p w14:paraId="13199872" w14:textId="77777777" w:rsidR="00003822" w:rsidRPr="00BA72C3" w:rsidRDefault="00003822" w:rsidP="001E37B3">
      <w:pPr>
        <w:rPr>
          <w:noProof/>
        </w:rPr>
      </w:pPr>
    </w:p>
    <w:p w14:paraId="5F3C34AB" w14:textId="0E9500D6" w:rsidR="000C113F" w:rsidRPr="00BA72C3" w:rsidRDefault="00075A0E" w:rsidP="001E37B3">
      <w:pPr>
        <w:rPr>
          <w:b/>
          <w:noProof/>
        </w:rPr>
      </w:pPr>
      <w:r w:rsidRPr="00BA72C3">
        <w:rPr>
          <w:b/>
          <w:noProof/>
        </w:rPr>
        <w:t xml:space="preserve">Anticipated </w:t>
      </w:r>
      <w:r w:rsidR="000C113F" w:rsidRPr="00BA72C3">
        <w:rPr>
          <w:b/>
          <w:noProof/>
        </w:rPr>
        <w:t>work future years (202</w:t>
      </w:r>
      <w:r w:rsidR="006C07E3">
        <w:rPr>
          <w:b/>
          <w:noProof/>
        </w:rPr>
        <w:t>3</w:t>
      </w:r>
      <w:r w:rsidR="000C113F" w:rsidRPr="00BA72C3">
        <w:rPr>
          <w:b/>
          <w:noProof/>
        </w:rPr>
        <w:t>)</w:t>
      </w:r>
    </w:p>
    <w:p w14:paraId="01A9A7BA" w14:textId="77777777" w:rsidR="00EE4AC4" w:rsidRPr="00BA72C3" w:rsidRDefault="00EE4AC4" w:rsidP="001E37B3">
      <w:pPr>
        <w:rPr>
          <w:noProof/>
        </w:rPr>
      </w:pPr>
    </w:p>
    <w:p w14:paraId="32F6C8FF" w14:textId="54F37E09" w:rsidR="000C113F" w:rsidRPr="00BA72C3" w:rsidRDefault="00267505" w:rsidP="001E37B3">
      <w:pPr>
        <w:rPr>
          <w:noProof/>
        </w:rPr>
      </w:pPr>
      <w:r w:rsidRPr="00BA72C3">
        <w:rPr>
          <w:noProof/>
        </w:rPr>
        <w:t>R</w:t>
      </w:r>
      <w:r w:rsidR="00003822" w:rsidRPr="00BA72C3">
        <w:rPr>
          <w:noProof/>
        </w:rPr>
        <w:t xml:space="preserve">esults from </w:t>
      </w:r>
      <w:r w:rsidR="00821D94">
        <w:rPr>
          <w:noProof/>
        </w:rPr>
        <w:t xml:space="preserve">HRC-funded work completed in </w:t>
      </w:r>
      <w:r w:rsidR="00003822" w:rsidRPr="00BA72C3">
        <w:rPr>
          <w:noProof/>
        </w:rPr>
        <w:t>202</w:t>
      </w:r>
      <w:r w:rsidR="006C07E3">
        <w:rPr>
          <w:noProof/>
        </w:rPr>
        <w:t>1</w:t>
      </w:r>
      <w:r w:rsidR="00003822" w:rsidRPr="00BA72C3">
        <w:rPr>
          <w:noProof/>
        </w:rPr>
        <w:t xml:space="preserve"> </w:t>
      </w:r>
      <w:r w:rsidR="00DD2B51" w:rsidRPr="00BA72C3">
        <w:rPr>
          <w:noProof/>
        </w:rPr>
        <w:t>guide</w:t>
      </w:r>
      <w:r w:rsidR="00617034">
        <w:rPr>
          <w:noProof/>
        </w:rPr>
        <w:t>d</w:t>
      </w:r>
      <w:r w:rsidR="00003822" w:rsidRPr="00BA72C3">
        <w:rPr>
          <w:noProof/>
        </w:rPr>
        <w:t xml:space="preserve"> the direction of this </w:t>
      </w:r>
      <w:r w:rsidR="00821D94" w:rsidRPr="00BA72C3">
        <w:rPr>
          <w:noProof/>
        </w:rPr>
        <w:t>pro</w:t>
      </w:r>
      <w:r w:rsidR="00821D94">
        <w:rPr>
          <w:noProof/>
        </w:rPr>
        <w:t>posal</w:t>
      </w:r>
      <w:r w:rsidR="00003822" w:rsidRPr="00BA72C3">
        <w:rPr>
          <w:noProof/>
        </w:rPr>
        <w:t xml:space="preserve">. </w:t>
      </w:r>
      <w:r w:rsidR="00821D94">
        <w:rPr>
          <w:noProof/>
        </w:rPr>
        <w:t>Our</w:t>
      </w:r>
      <w:r w:rsidR="00821D94" w:rsidRPr="00BA72C3">
        <w:rPr>
          <w:noProof/>
        </w:rPr>
        <w:t xml:space="preserve"> </w:t>
      </w:r>
      <w:r w:rsidR="00003822" w:rsidRPr="00BA72C3">
        <w:rPr>
          <w:noProof/>
        </w:rPr>
        <w:t xml:space="preserve">goal </w:t>
      </w:r>
      <w:r w:rsidR="00A833E1">
        <w:rPr>
          <w:noProof/>
        </w:rPr>
        <w:t>is to validate</w:t>
      </w:r>
      <w:r w:rsidR="00617034">
        <w:rPr>
          <w:noProof/>
        </w:rPr>
        <w:t xml:space="preserve"> </w:t>
      </w:r>
      <w:r w:rsidR="00A833E1">
        <w:rPr>
          <w:noProof/>
        </w:rPr>
        <w:t xml:space="preserve">the </w:t>
      </w:r>
      <w:r w:rsidR="00617034">
        <w:rPr>
          <w:noProof/>
        </w:rPr>
        <w:t>initial findings</w:t>
      </w:r>
      <w:r w:rsidR="00003822" w:rsidRPr="00BA72C3">
        <w:rPr>
          <w:noProof/>
        </w:rPr>
        <w:t xml:space="preserve"> </w:t>
      </w:r>
      <w:r w:rsidR="00617034">
        <w:rPr>
          <w:noProof/>
        </w:rPr>
        <w:t xml:space="preserve">during </w:t>
      </w:r>
      <w:r w:rsidR="00821D94">
        <w:rPr>
          <w:noProof/>
        </w:rPr>
        <w:t>2022</w:t>
      </w:r>
      <w:r w:rsidR="00003822" w:rsidRPr="00BA72C3">
        <w:rPr>
          <w:noProof/>
        </w:rPr>
        <w:t xml:space="preserve">. </w:t>
      </w:r>
      <w:r w:rsidR="003F4A16">
        <w:rPr>
          <w:noProof/>
        </w:rPr>
        <w:t>Evaluation of new use patterns of tiafenacil and glufosinate will be initiated in 2021</w:t>
      </w:r>
      <w:r w:rsidR="006C07E3">
        <w:rPr>
          <w:noProof/>
        </w:rPr>
        <w:t>, but it is necessary to conduct tolerance test</w:t>
      </w:r>
      <w:r w:rsidR="00821D94">
        <w:rPr>
          <w:noProof/>
        </w:rPr>
        <w:t>ing</w:t>
      </w:r>
      <w:r w:rsidR="006C07E3">
        <w:rPr>
          <w:noProof/>
        </w:rPr>
        <w:t xml:space="preserve"> on the same plants over two seasons to validade crop tolerance</w:t>
      </w:r>
      <w:r w:rsidR="003F4A16">
        <w:rPr>
          <w:noProof/>
        </w:rPr>
        <w:t xml:space="preserve">. This </w:t>
      </w:r>
      <w:r w:rsidR="00821D94">
        <w:rPr>
          <w:noProof/>
        </w:rPr>
        <w:t>validation work will take place</w:t>
      </w:r>
      <w:r w:rsidR="006C07E3">
        <w:rPr>
          <w:noProof/>
        </w:rPr>
        <w:t xml:space="preserve"> in 2022</w:t>
      </w:r>
      <w:r w:rsidR="003F4A16">
        <w:rPr>
          <w:noProof/>
        </w:rPr>
        <w:t>. This project will expand and optimize the use of herbicides in hop production</w:t>
      </w:r>
      <w:r w:rsidR="00821D94">
        <w:rPr>
          <w:noProof/>
        </w:rPr>
        <w:t xml:space="preserve"> for difficult weed control, to manage weed herbicide resistance, and for hop plant crowning</w:t>
      </w:r>
      <w:r w:rsidR="003F4A16">
        <w:rPr>
          <w:noProof/>
        </w:rPr>
        <w:t>.</w:t>
      </w:r>
      <w:r w:rsidR="00471B97">
        <w:rPr>
          <w:noProof/>
        </w:rPr>
        <w:t xml:space="preserve"> </w:t>
      </w:r>
    </w:p>
    <w:p w14:paraId="7372FCA8" w14:textId="1D53A8FA" w:rsidR="00003822" w:rsidRPr="00BA72C3" w:rsidRDefault="00003822" w:rsidP="001E37B3">
      <w:pPr>
        <w:rPr>
          <w:noProof/>
        </w:rPr>
      </w:pPr>
    </w:p>
    <w:p w14:paraId="208500FC" w14:textId="77777777" w:rsidR="00B5128A" w:rsidRPr="00BA72C3" w:rsidRDefault="00B5128A" w:rsidP="00782B71">
      <w:pPr>
        <w:ind w:left="720" w:hanging="720"/>
        <w:rPr>
          <w:b/>
          <w:noProof/>
        </w:rPr>
      </w:pPr>
      <w:r w:rsidRPr="00BA72C3">
        <w:rPr>
          <w:b/>
          <w:noProof/>
        </w:rPr>
        <w:t xml:space="preserve">References: </w:t>
      </w:r>
    </w:p>
    <w:p w14:paraId="29839333" w14:textId="0E38FE32" w:rsidR="00B5128A" w:rsidRPr="00BA72C3" w:rsidRDefault="00B5128A" w:rsidP="00113730">
      <w:pPr>
        <w:tabs>
          <w:tab w:val="left" w:pos="423"/>
        </w:tabs>
        <w:rPr>
          <w:noProof/>
        </w:rPr>
      </w:pPr>
    </w:p>
    <w:p w14:paraId="5C6F076A" w14:textId="79D9AF1C" w:rsidR="00113730" w:rsidRPr="00BA72C3" w:rsidRDefault="00113730" w:rsidP="00782B71">
      <w:pPr>
        <w:widowControl/>
        <w:autoSpaceDE/>
        <w:autoSpaceDN/>
        <w:adjustRightInd/>
        <w:ind w:left="720" w:hanging="720"/>
        <w:rPr>
          <w:noProof/>
        </w:rPr>
      </w:pPr>
      <w:bookmarkStart w:id="0" w:name="_Hlk74743256"/>
      <w:r w:rsidRPr="00BA72C3">
        <w:rPr>
          <w:noProof/>
        </w:rPr>
        <w:t xml:space="preserve">Gitelson, Anatoly A., Claus Buschmann, and Hartmut K. Lichtenthaler. </w:t>
      </w:r>
      <w:r w:rsidR="00EC7B4D">
        <w:rPr>
          <w:noProof/>
        </w:rPr>
        <w:t>"</w:t>
      </w:r>
      <w:r w:rsidRPr="00BA72C3">
        <w:rPr>
          <w:noProof/>
        </w:rPr>
        <w:t>The chlorophyll fluorescence ratio F735/F700 as an accurate measure of the chlorophyll content in plants.</w:t>
      </w:r>
      <w:r w:rsidR="00EC7B4D">
        <w:rPr>
          <w:noProof/>
        </w:rPr>
        <w:t>"</w:t>
      </w:r>
      <w:r w:rsidRPr="00BA72C3">
        <w:rPr>
          <w:noProof/>
        </w:rPr>
        <w:t> Remote Sensing of Environment 69.3 (1999): 296-302.</w:t>
      </w:r>
    </w:p>
    <w:p w14:paraId="7EC8390E" w14:textId="419AAF03" w:rsidR="000C3F83" w:rsidRPr="00BA72C3" w:rsidRDefault="000C3F83" w:rsidP="00782B71">
      <w:pPr>
        <w:widowControl/>
        <w:autoSpaceDE/>
        <w:autoSpaceDN/>
        <w:adjustRightInd/>
        <w:ind w:left="720" w:hanging="720"/>
        <w:rPr>
          <w:noProof/>
        </w:rPr>
      </w:pPr>
      <w:r w:rsidRPr="00BA72C3">
        <w:rPr>
          <w:noProof/>
        </w:rPr>
        <w:t>Heap, I., 20</w:t>
      </w:r>
      <w:r w:rsidR="008C70B4" w:rsidRPr="00BA72C3">
        <w:rPr>
          <w:noProof/>
        </w:rPr>
        <w:t>20</w:t>
      </w:r>
      <w:r w:rsidRPr="00BA72C3">
        <w:rPr>
          <w:noProof/>
        </w:rPr>
        <w:t xml:space="preserve">. The International Survey of Herbicide Resistant Weeds. http://weedscience.org/, Accessed date: </w:t>
      </w:r>
      <w:r w:rsidR="00EC7B4D">
        <w:rPr>
          <w:noProof/>
        </w:rPr>
        <w:t>September 02</w:t>
      </w:r>
      <w:r w:rsidR="00A833E1">
        <w:rPr>
          <w:noProof/>
        </w:rPr>
        <w:t>,</w:t>
      </w:r>
      <w:r w:rsidRPr="00BA72C3">
        <w:rPr>
          <w:noProof/>
        </w:rPr>
        <w:t xml:space="preserve"> 20</w:t>
      </w:r>
      <w:r w:rsidR="008C70B4" w:rsidRPr="00BA72C3">
        <w:rPr>
          <w:noProof/>
        </w:rPr>
        <w:t>20</w:t>
      </w:r>
    </w:p>
    <w:p w14:paraId="41028761" w14:textId="6F742FC4" w:rsidR="000C3F83" w:rsidRPr="00BA72C3" w:rsidRDefault="000C3F83" w:rsidP="00782B71">
      <w:pPr>
        <w:widowControl/>
        <w:autoSpaceDE/>
        <w:autoSpaceDN/>
        <w:adjustRightInd/>
        <w:ind w:left="720" w:hanging="720"/>
        <w:rPr>
          <w:noProof/>
        </w:rPr>
      </w:pPr>
      <w:r w:rsidRPr="00BA72C3">
        <w:rPr>
          <w:noProof/>
        </w:rPr>
        <w:t xml:space="preserve">[HRC] Hop Research Council, 2019. The Hop Research Council </w:t>
      </w:r>
      <w:r w:rsidR="00A833E1">
        <w:rPr>
          <w:noProof/>
        </w:rPr>
        <w:t>Research</w:t>
      </w:r>
      <w:r w:rsidRPr="00BA72C3">
        <w:rPr>
          <w:noProof/>
        </w:rPr>
        <w:t xml:space="preserve"> Priorities. </w:t>
      </w:r>
      <w:hyperlink r:id="rId7" w:history="1">
        <w:r w:rsidRPr="00BA72C3">
          <w:rPr>
            <w:rStyle w:val="Hyperlink"/>
            <w:noProof/>
          </w:rPr>
          <w:t>http://hopresearchcouncil.org/</w:t>
        </w:r>
      </w:hyperlink>
      <w:r w:rsidRPr="00BA72C3">
        <w:rPr>
          <w:noProof/>
        </w:rPr>
        <w:t xml:space="preserve">. Accessed </w:t>
      </w:r>
      <w:r w:rsidR="00A833E1">
        <w:rPr>
          <w:noProof/>
        </w:rPr>
        <w:t>date</w:t>
      </w:r>
      <w:r w:rsidRPr="00BA72C3">
        <w:rPr>
          <w:noProof/>
        </w:rPr>
        <w:t xml:space="preserve">: </w:t>
      </w:r>
      <w:r w:rsidR="00EC7B4D">
        <w:rPr>
          <w:noProof/>
        </w:rPr>
        <w:t>November 05</w:t>
      </w:r>
      <w:r w:rsidR="00A833E1">
        <w:rPr>
          <w:noProof/>
        </w:rPr>
        <w:t>,</w:t>
      </w:r>
      <w:r w:rsidRPr="00BA72C3">
        <w:rPr>
          <w:noProof/>
        </w:rPr>
        <w:t xml:space="preserve"> 2019.</w:t>
      </w:r>
    </w:p>
    <w:p w14:paraId="0E6E6BA7" w14:textId="2A0A799D" w:rsidR="000C3F83" w:rsidRPr="00BA72C3" w:rsidRDefault="000C3F83" w:rsidP="00782B71">
      <w:pPr>
        <w:widowControl/>
        <w:autoSpaceDE/>
        <w:autoSpaceDN/>
        <w:adjustRightInd/>
        <w:ind w:left="720" w:hanging="720"/>
        <w:rPr>
          <w:noProof/>
        </w:rPr>
      </w:pPr>
      <w:r w:rsidRPr="00BA72C3">
        <w:rPr>
          <w:noProof/>
        </w:rPr>
        <w:t>Norsworthy, J. K., Ward, S. M., Shaw, D. R., Llewellyn, R. S., Nichols, R. L., Webster, T. M., ... &amp; Witt, W. W. (2012). Reducing the risks of herbicide resistance: best management practices and recommendations. Weed Science, 60(SP1), 31-62.</w:t>
      </w:r>
    </w:p>
    <w:p w14:paraId="342177EE" w14:textId="77777777" w:rsidR="0018516A" w:rsidRPr="0018516A" w:rsidRDefault="00782B71" w:rsidP="0018516A">
      <w:pPr>
        <w:pStyle w:val="EndNoteBibliography"/>
        <w:ind w:left="720" w:hanging="720"/>
      </w:pPr>
      <w:r w:rsidRPr="00BA72C3">
        <w:fldChar w:fldCharType="begin"/>
      </w:r>
      <w:r w:rsidRPr="00BA72C3">
        <w:instrText xml:space="preserve"> ADDIN EN.REFLIST </w:instrText>
      </w:r>
      <w:r w:rsidRPr="00BA72C3">
        <w:fldChar w:fldCharType="separate"/>
      </w:r>
      <w:r w:rsidR="0018516A" w:rsidRPr="0018516A">
        <w:t>Park J, Ahn YO, Nam J-W, Hong M-K, Song N, Kim T, Yu G-H, Sung S-K (2018) Biochemical and physiological mode of action of tiafenacil, a new protoporphyrinogen IX oxidase-inhibiting herbicide. Pesticide biochemistry and physiology 152:38-44</w:t>
      </w:r>
    </w:p>
    <w:p w14:paraId="6FD7D008" w14:textId="77777777" w:rsidR="0018516A" w:rsidRPr="0018516A" w:rsidRDefault="0018516A" w:rsidP="0018516A">
      <w:pPr>
        <w:pStyle w:val="EndNoteBibliography"/>
        <w:ind w:left="720" w:hanging="720"/>
      </w:pPr>
      <w:r w:rsidRPr="0018516A">
        <w:t>Probst C, Nelson ME, Grove GG, Twomey MC, Gent DH (2016) Hop powdery mildew control through alteration of spring pruning practices. Plant Disease 100:1599-1605</w:t>
      </w:r>
    </w:p>
    <w:p w14:paraId="054AAA43" w14:textId="1C8F9CA7" w:rsidR="000C3F83" w:rsidRPr="00BA72C3" w:rsidRDefault="00782B71" w:rsidP="00782B71">
      <w:pPr>
        <w:widowControl/>
        <w:autoSpaceDE/>
        <w:autoSpaceDN/>
        <w:adjustRightInd/>
        <w:ind w:left="720" w:hanging="720"/>
        <w:rPr>
          <w:noProof/>
        </w:rPr>
      </w:pPr>
      <w:r w:rsidRPr="00BA72C3">
        <w:fldChar w:fldCharType="end"/>
      </w:r>
      <w:r w:rsidR="000C3F83" w:rsidRPr="00BA72C3">
        <w:rPr>
          <w:noProof/>
        </w:rPr>
        <w:t xml:space="preserve">Westra, E. P., Nissen, S. J., Getts, T. J., Westra, P., &amp; Gaines, T. A. (2019). </w:t>
      </w:r>
      <w:r w:rsidR="00A833E1">
        <w:rPr>
          <w:noProof/>
        </w:rPr>
        <w:t>The survey</w:t>
      </w:r>
      <w:r w:rsidR="000C3F83" w:rsidRPr="00BA72C3">
        <w:rPr>
          <w:noProof/>
        </w:rPr>
        <w:t xml:space="preserve"> reveals frequency of multiple resistance to glyphosate and dicamba in kochia (</w:t>
      </w:r>
      <w:r w:rsidR="000C3F83" w:rsidRPr="00BA72C3">
        <w:rPr>
          <w:i/>
          <w:iCs/>
          <w:noProof/>
        </w:rPr>
        <w:t>Bassia scoparia</w:t>
      </w:r>
      <w:r w:rsidR="000C3F83" w:rsidRPr="00BA72C3">
        <w:rPr>
          <w:noProof/>
        </w:rPr>
        <w:t>). Weed Technology, 33(5), 664-672.</w:t>
      </w:r>
    </w:p>
    <w:bookmarkEnd w:id="0"/>
    <w:p w14:paraId="3B7C723F" w14:textId="169A6B01" w:rsidR="000C3F83" w:rsidRPr="00BA72C3" w:rsidRDefault="000C3F83">
      <w:pPr>
        <w:widowControl/>
        <w:autoSpaceDE/>
        <w:autoSpaceDN/>
        <w:adjustRightInd/>
        <w:rPr>
          <w:noProof/>
        </w:rPr>
      </w:pPr>
      <w:r w:rsidRPr="00BA72C3">
        <w:rPr>
          <w:noProof/>
        </w:rPr>
        <w:br w:type="page"/>
      </w:r>
    </w:p>
    <w:p w14:paraId="3D07B8C4" w14:textId="77777777" w:rsidR="00113730" w:rsidRPr="00BA72C3" w:rsidRDefault="00113730" w:rsidP="00113730">
      <w:pPr>
        <w:tabs>
          <w:tab w:val="left" w:pos="423"/>
        </w:tabs>
        <w:rPr>
          <w:noProof/>
        </w:rPr>
      </w:pPr>
    </w:p>
    <w:p w14:paraId="6270C883" w14:textId="2A86F60F" w:rsidR="00113730" w:rsidRPr="00BA72C3" w:rsidRDefault="000C3F83" w:rsidP="00113730">
      <w:pPr>
        <w:tabs>
          <w:tab w:val="left" w:pos="423"/>
        </w:tabs>
        <w:rPr>
          <w:b/>
          <w:bCs/>
          <w:noProof/>
        </w:rPr>
      </w:pPr>
      <w:r w:rsidRPr="00BA72C3">
        <w:rPr>
          <w:b/>
          <w:bCs/>
          <w:noProof/>
        </w:rPr>
        <w:t>Budget</w:t>
      </w:r>
    </w:p>
    <w:p w14:paraId="6491555C" w14:textId="77777777" w:rsidR="00CE3B5D" w:rsidRPr="00BA72C3" w:rsidRDefault="00CE3B5D" w:rsidP="001E37B3">
      <w:pPr>
        <w:widowControl/>
        <w:autoSpaceDE/>
        <w:autoSpaceDN/>
        <w:adjustRightInd/>
        <w:rPr>
          <w:b/>
          <w:i/>
        </w:rPr>
      </w:pPr>
    </w:p>
    <w:tbl>
      <w:tblPr>
        <w:tblStyle w:val="PlainTable2"/>
        <w:tblW w:w="5000" w:type="pct"/>
        <w:tblLook w:val="04A0" w:firstRow="1" w:lastRow="0" w:firstColumn="1" w:lastColumn="0" w:noHBand="0" w:noVBand="1"/>
      </w:tblPr>
      <w:tblGrid>
        <w:gridCol w:w="5040"/>
        <w:gridCol w:w="5040"/>
      </w:tblGrid>
      <w:tr w:rsidR="00CE3B5D" w:rsidRPr="00BA72C3" w14:paraId="7276DA23" w14:textId="77777777" w:rsidTr="00E77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84889C" w14:textId="77777777" w:rsidR="00CE3B5D" w:rsidRPr="00BA72C3" w:rsidRDefault="00CE3B5D" w:rsidP="001E37B3">
            <w:pPr>
              <w:rPr>
                <w:b w:val="0"/>
              </w:rPr>
            </w:pPr>
            <w:r w:rsidRPr="00BA72C3">
              <w:t>Budget:</w:t>
            </w:r>
          </w:p>
        </w:tc>
        <w:tc>
          <w:tcPr>
            <w:tcW w:w="2500" w:type="pct"/>
          </w:tcPr>
          <w:p w14:paraId="15798884" w14:textId="77777777" w:rsidR="00CE3B5D" w:rsidRPr="00BA72C3" w:rsidRDefault="00CE3B5D" w:rsidP="001E37B3">
            <w:pPr>
              <w:cnfStyle w:val="100000000000" w:firstRow="1" w:lastRow="0" w:firstColumn="0" w:lastColumn="0" w:oddVBand="0" w:evenVBand="0" w:oddHBand="0" w:evenHBand="0" w:firstRowFirstColumn="0" w:firstRowLastColumn="0" w:lastRowFirstColumn="0" w:lastRowLastColumn="0"/>
            </w:pPr>
          </w:p>
        </w:tc>
      </w:tr>
      <w:tr w:rsidR="0037457F" w:rsidRPr="00BA72C3" w14:paraId="76E68358"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9B54AB" w14:textId="77777777" w:rsidR="0037457F" w:rsidRPr="00BA72C3" w:rsidRDefault="0037457F" w:rsidP="001E37B3">
            <w:r w:rsidRPr="00BA72C3">
              <w:t>Expenditure</w:t>
            </w:r>
          </w:p>
        </w:tc>
        <w:tc>
          <w:tcPr>
            <w:tcW w:w="2500" w:type="pct"/>
          </w:tcPr>
          <w:p w14:paraId="660C09F2" w14:textId="4CAD6CB7" w:rsidR="0037457F" w:rsidRPr="00BA72C3" w:rsidRDefault="0037457F" w:rsidP="001E37B3">
            <w:pPr>
              <w:cnfStyle w:val="000000100000" w:firstRow="0" w:lastRow="0" w:firstColumn="0" w:lastColumn="0" w:oddVBand="0" w:evenVBand="0" w:oddHBand="1" w:evenHBand="0" w:firstRowFirstColumn="0" w:firstRowLastColumn="0" w:lastRowFirstColumn="0" w:lastRowLastColumn="0"/>
            </w:pPr>
            <w:r w:rsidRPr="00BA72C3">
              <w:t>Total amount requested</w:t>
            </w:r>
            <w:r w:rsidR="006B1A4D" w:rsidRPr="00BA72C3">
              <w:t xml:space="preserve"> (202</w:t>
            </w:r>
            <w:r w:rsidR="004D0785">
              <w:t>2</w:t>
            </w:r>
            <w:r w:rsidR="006B1A4D" w:rsidRPr="00BA72C3">
              <w:t>)</w:t>
            </w:r>
          </w:p>
        </w:tc>
      </w:tr>
      <w:tr w:rsidR="0037457F" w:rsidRPr="00BA72C3" w14:paraId="31961972"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0449BF88" w14:textId="4B7BAE7F" w:rsidR="0037457F" w:rsidRPr="00BA72C3" w:rsidRDefault="0037457F" w:rsidP="001E37B3">
            <w:r w:rsidRPr="00BA72C3">
              <w:t xml:space="preserve">Salaries – </w:t>
            </w:r>
            <w:r w:rsidR="00A64005" w:rsidRPr="00BA72C3">
              <w:t>Faculty research assistant</w:t>
            </w:r>
            <w:r w:rsidRPr="00BA72C3">
              <w:t xml:space="preserve"> </w:t>
            </w:r>
          </w:p>
        </w:tc>
        <w:tc>
          <w:tcPr>
            <w:tcW w:w="2500" w:type="pct"/>
          </w:tcPr>
          <w:p w14:paraId="1C4581ED" w14:textId="29150FFA" w:rsidR="0037457F" w:rsidRPr="00BA72C3" w:rsidRDefault="00B557A4" w:rsidP="001E37B3">
            <w:pPr>
              <w:cnfStyle w:val="000000000000" w:firstRow="0" w:lastRow="0" w:firstColumn="0" w:lastColumn="0" w:oddVBand="0" w:evenVBand="0" w:oddHBand="0" w:evenHBand="0" w:firstRowFirstColumn="0" w:firstRowLastColumn="0" w:lastRowFirstColumn="0" w:lastRowLastColumn="0"/>
            </w:pPr>
            <w:r w:rsidRPr="00BA72C3">
              <w:t>$</w:t>
            </w:r>
            <w:r w:rsidR="001F484D" w:rsidRPr="00BA72C3">
              <w:t xml:space="preserve"> </w:t>
            </w:r>
            <w:r w:rsidR="00D16220" w:rsidRPr="00BA72C3">
              <w:t>9,167</w:t>
            </w:r>
          </w:p>
        </w:tc>
      </w:tr>
      <w:tr w:rsidR="0037457F" w:rsidRPr="00BA72C3" w14:paraId="3DB7D7A7"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5AF4AA" w14:textId="295422C0" w:rsidR="0037457F" w:rsidRPr="00BA72C3" w:rsidRDefault="0037457F" w:rsidP="001E37B3">
            <w:r w:rsidRPr="00BA72C3">
              <w:rPr>
                <w:noProof/>
              </w:rPr>
              <w:t>Employee</w:t>
            </w:r>
            <w:r w:rsidRPr="00BA72C3">
              <w:t xml:space="preserve"> benefits (</w:t>
            </w:r>
            <w:r w:rsidR="007C13EE">
              <w:t>76</w:t>
            </w:r>
            <w:r w:rsidRPr="00BA72C3">
              <w:t xml:space="preserve"> %)</w:t>
            </w:r>
          </w:p>
        </w:tc>
        <w:tc>
          <w:tcPr>
            <w:tcW w:w="2500" w:type="pct"/>
          </w:tcPr>
          <w:p w14:paraId="4A691E2F" w14:textId="3C2F8D8D" w:rsidR="0037457F" w:rsidRPr="00BA72C3" w:rsidRDefault="001E1BCC" w:rsidP="001E37B3">
            <w:pPr>
              <w:cnfStyle w:val="000000100000" w:firstRow="0" w:lastRow="0" w:firstColumn="0" w:lastColumn="0" w:oddVBand="0" w:evenVBand="0" w:oddHBand="1" w:evenHBand="0" w:firstRowFirstColumn="0" w:firstRowLastColumn="0" w:lastRowFirstColumn="0" w:lastRowLastColumn="0"/>
            </w:pPr>
            <w:r w:rsidRPr="00BA72C3">
              <w:t>$</w:t>
            </w:r>
            <w:r w:rsidR="001F484D" w:rsidRPr="00BA72C3">
              <w:t xml:space="preserve"> 6,</w:t>
            </w:r>
            <w:r w:rsidR="00D16220" w:rsidRPr="00BA72C3">
              <w:t>967</w:t>
            </w:r>
          </w:p>
        </w:tc>
      </w:tr>
      <w:tr w:rsidR="007C13EE" w:rsidRPr="00BA72C3" w14:paraId="633949A1"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39458E92" w14:textId="1F58B228" w:rsidR="007C13EE" w:rsidRPr="00BA72C3" w:rsidRDefault="007C13EE" w:rsidP="001E37B3">
            <w:r>
              <w:t>Undergraduate students ($17/h)</w:t>
            </w:r>
          </w:p>
        </w:tc>
        <w:tc>
          <w:tcPr>
            <w:tcW w:w="2500" w:type="pct"/>
          </w:tcPr>
          <w:p w14:paraId="3C7B5A05" w14:textId="39A6A506" w:rsidR="007C13EE" w:rsidRPr="00BA72C3" w:rsidRDefault="007C13EE" w:rsidP="001E37B3">
            <w:pPr>
              <w:cnfStyle w:val="000000000000" w:firstRow="0" w:lastRow="0" w:firstColumn="0" w:lastColumn="0" w:oddVBand="0" w:evenVBand="0" w:oddHBand="0" w:evenHBand="0" w:firstRowFirstColumn="0" w:firstRowLastColumn="0" w:lastRowFirstColumn="0" w:lastRowLastColumn="0"/>
            </w:pPr>
            <w:r>
              <w:t>$</w:t>
            </w:r>
            <w:r w:rsidR="00821D94">
              <w:t xml:space="preserve"> </w:t>
            </w:r>
            <w:r>
              <w:t>6,000</w:t>
            </w:r>
          </w:p>
        </w:tc>
      </w:tr>
      <w:tr w:rsidR="0037457F" w:rsidRPr="00BA72C3" w14:paraId="08D644A5"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D8EEB2" w14:textId="3F9B2D86" w:rsidR="0037457F" w:rsidRPr="00BA72C3" w:rsidRDefault="0037457F" w:rsidP="001E37B3">
            <w:r w:rsidRPr="00BA72C3">
              <w:t>Travel ($0.5</w:t>
            </w:r>
            <w:r w:rsidR="007C13EE">
              <w:t>6</w:t>
            </w:r>
            <w:r w:rsidRPr="00BA72C3">
              <w:t>/mile)</w:t>
            </w:r>
            <w:r w:rsidR="00713F8C" w:rsidRPr="00BA72C3">
              <w:t xml:space="preserve"> (</w:t>
            </w:r>
            <w:r w:rsidR="007C13EE">
              <w:t>1,785</w:t>
            </w:r>
            <w:r w:rsidR="00713F8C" w:rsidRPr="00BA72C3">
              <w:t xml:space="preserve"> miles)</w:t>
            </w:r>
          </w:p>
        </w:tc>
        <w:tc>
          <w:tcPr>
            <w:tcW w:w="2500" w:type="pct"/>
          </w:tcPr>
          <w:p w14:paraId="2D49F204" w14:textId="2E8EF5BC" w:rsidR="0037457F" w:rsidRPr="00BA72C3" w:rsidRDefault="001E1BCC" w:rsidP="001E37B3">
            <w:pPr>
              <w:cnfStyle w:val="000000100000" w:firstRow="0" w:lastRow="0" w:firstColumn="0" w:lastColumn="0" w:oddVBand="0" w:evenVBand="0" w:oddHBand="1" w:evenHBand="0" w:firstRowFirstColumn="0" w:firstRowLastColumn="0" w:lastRowFirstColumn="0" w:lastRowLastColumn="0"/>
            </w:pPr>
            <w:r w:rsidRPr="00BA72C3">
              <w:t>$</w:t>
            </w:r>
            <w:r w:rsidR="001F484D" w:rsidRPr="00BA72C3">
              <w:t xml:space="preserve"> </w:t>
            </w:r>
            <w:r w:rsidR="007C13EE">
              <w:t>1,000</w:t>
            </w:r>
          </w:p>
        </w:tc>
      </w:tr>
      <w:tr w:rsidR="0037457F" w:rsidRPr="00BA72C3" w14:paraId="26FD935B"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1F142278" w14:textId="4289F68E" w:rsidR="0037457F" w:rsidRPr="00BA72C3" w:rsidRDefault="0037457F" w:rsidP="001E37B3">
            <w:r w:rsidRPr="00BA72C3">
              <w:t xml:space="preserve">USA hop </w:t>
            </w:r>
            <w:r w:rsidR="001F484D" w:rsidRPr="00BA72C3">
              <w:t>and summer mee</w:t>
            </w:r>
            <w:r w:rsidR="0043158A" w:rsidRPr="00BA72C3">
              <w:t>tin</w:t>
            </w:r>
            <w:r w:rsidR="001F484D" w:rsidRPr="00BA72C3">
              <w:t>g</w:t>
            </w:r>
          </w:p>
        </w:tc>
        <w:tc>
          <w:tcPr>
            <w:tcW w:w="2500" w:type="pct"/>
          </w:tcPr>
          <w:p w14:paraId="627B15BB" w14:textId="292E57B9" w:rsidR="0037457F" w:rsidRPr="00BA72C3" w:rsidRDefault="0037457F" w:rsidP="001E37B3">
            <w:pPr>
              <w:cnfStyle w:val="000000000000" w:firstRow="0" w:lastRow="0" w:firstColumn="0" w:lastColumn="0" w:oddVBand="0" w:evenVBand="0" w:oddHBand="0" w:evenHBand="0" w:firstRowFirstColumn="0" w:firstRowLastColumn="0" w:lastRowFirstColumn="0" w:lastRowLastColumn="0"/>
            </w:pPr>
            <w:r w:rsidRPr="00BA72C3">
              <w:t>$</w:t>
            </w:r>
            <w:r w:rsidR="001F484D" w:rsidRPr="00BA72C3">
              <w:t xml:space="preserve"> </w:t>
            </w:r>
            <w:r w:rsidR="0043158A" w:rsidRPr="00BA72C3">
              <w:t>1</w:t>
            </w:r>
            <w:r w:rsidR="001F484D" w:rsidRPr="00BA72C3">
              <w:t>,</w:t>
            </w:r>
            <w:r w:rsidR="001E1BCC" w:rsidRPr="00BA72C3">
              <w:t>9</w:t>
            </w:r>
            <w:r w:rsidRPr="00BA72C3">
              <w:t>00</w:t>
            </w:r>
          </w:p>
        </w:tc>
      </w:tr>
      <w:tr w:rsidR="0037457F" w:rsidRPr="00BA72C3" w14:paraId="42DB21C1"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0ADD87" w14:textId="059C0015" w:rsidR="0037457F" w:rsidRPr="00BA72C3" w:rsidRDefault="008E5CC9" w:rsidP="001E37B3">
            <w:pPr>
              <w:pStyle w:val="Heading2"/>
              <w:spacing w:line="288" w:lineRule="atLeast"/>
              <w:ind w:left="0"/>
              <w:outlineLvl w:val="1"/>
              <w:rPr>
                <w:sz w:val="24"/>
                <w:szCs w:val="24"/>
              </w:rPr>
            </w:pPr>
            <w:r w:rsidRPr="00BA72C3">
              <w:rPr>
                <w:noProof/>
                <w:sz w:val="24"/>
                <w:szCs w:val="24"/>
              </w:rPr>
              <w:t>Materials</w:t>
            </w:r>
            <w:r w:rsidR="000B1B38" w:rsidRPr="00BA72C3">
              <w:rPr>
                <w:noProof/>
                <w:sz w:val="24"/>
                <w:szCs w:val="24"/>
              </w:rPr>
              <w:t xml:space="preserve"> ( product, field supplies, etc)</w:t>
            </w:r>
          </w:p>
        </w:tc>
        <w:tc>
          <w:tcPr>
            <w:tcW w:w="2500" w:type="pct"/>
          </w:tcPr>
          <w:p w14:paraId="60E16B38" w14:textId="637A72AC" w:rsidR="0037457F" w:rsidRPr="00BA72C3" w:rsidRDefault="001E1BCC" w:rsidP="001E37B3">
            <w:pPr>
              <w:cnfStyle w:val="000000100000" w:firstRow="0" w:lastRow="0" w:firstColumn="0" w:lastColumn="0" w:oddVBand="0" w:evenVBand="0" w:oddHBand="1" w:evenHBand="0" w:firstRowFirstColumn="0" w:firstRowLastColumn="0" w:lastRowFirstColumn="0" w:lastRowLastColumn="0"/>
            </w:pPr>
            <w:r w:rsidRPr="00BA72C3">
              <w:t>$</w:t>
            </w:r>
            <w:r w:rsidR="001F484D" w:rsidRPr="00BA72C3">
              <w:t xml:space="preserve"> </w:t>
            </w:r>
            <w:r w:rsidR="00821D94">
              <w:t xml:space="preserve">   </w:t>
            </w:r>
            <w:r w:rsidR="007C13EE">
              <w:t>794</w:t>
            </w:r>
          </w:p>
        </w:tc>
      </w:tr>
      <w:tr w:rsidR="0037457F" w:rsidRPr="00BA72C3" w14:paraId="5E2DA209"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6BAABDDB" w14:textId="4C2AD831" w:rsidR="0037457F" w:rsidRPr="00BA72C3" w:rsidRDefault="0037457F" w:rsidP="001E37B3">
            <w:pPr>
              <w:rPr>
                <w:u w:val="single"/>
              </w:rPr>
            </w:pPr>
            <w:r w:rsidRPr="00BA72C3">
              <w:t>Other</w:t>
            </w:r>
            <w:r w:rsidR="00033DD2" w:rsidRPr="00BA72C3">
              <w:t xml:space="preserve"> – new hop yard</w:t>
            </w:r>
            <w:r w:rsidR="000C3F83" w:rsidRPr="00BA72C3">
              <w:t xml:space="preserve"> 0.2 AC</w:t>
            </w:r>
            <w:r w:rsidR="00126276">
              <w:t xml:space="preserve"> </w:t>
            </w:r>
          </w:p>
        </w:tc>
        <w:tc>
          <w:tcPr>
            <w:tcW w:w="2500" w:type="pct"/>
          </w:tcPr>
          <w:p w14:paraId="1042651C" w14:textId="6B8E0A19" w:rsidR="0037457F" w:rsidRPr="00BA72C3" w:rsidRDefault="00033DD2" w:rsidP="001E37B3">
            <w:pPr>
              <w:cnfStyle w:val="000000000000" w:firstRow="0" w:lastRow="0" w:firstColumn="0" w:lastColumn="0" w:oddVBand="0" w:evenVBand="0" w:oddHBand="0" w:evenHBand="0" w:firstRowFirstColumn="0" w:firstRowLastColumn="0" w:lastRowFirstColumn="0" w:lastRowLastColumn="0"/>
            </w:pPr>
            <w:r w:rsidRPr="00BA72C3">
              <w:t>$</w:t>
            </w:r>
            <w:r w:rsidR="00821D94">
              <w:t xml:space="preserve"> </w:t>
            </w:r>
            <w:r w:rsidRPr="00BA72C3">
              <w:t>2,</w:t>
            </w:r>
            <w:r w:rsidR="00D16220" w:rsidRPr="00BA72C3">
              <w:t>172</w:t>
            </w:r>
          </w:p>
        </w:tc>
      </w:tr>
      <w:tr w:rsidR="00126276" w:rsidRPr="00BA72C3" w14:paraId="7A81251D"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2A3C60" w14:textId="576425A1" w:rsidR="00126276" w:rsidRPr="00BA72C3" w:rsidRDefault="00126276" w:rsidP="001E37B3">
            <w:r>
              <w:t>Crop destruct (pending on collaborator needs)</w:t>
            </w:r>
          </w:p>
        </w:tc>
        <w:tc>
          <w:tcPr>
            <w:tcW w:w="2500" w:type="pct"/>
          </w:tcPr>
          <w:p w14:paraId="775B094F" w14:textId="4111E520" w:rsidR="00126276" w:rsidRPr="00BA72C3" w:rsidRDefault="00126276" w:rsidP="001E37B3">
            <w:pPr>
              <w:cnfStyle w:val="000000100000" w:firstRow="0" w:lastRow="0" w:firstColumn="0" w:lastColumn="0" w:oddVBand="0" w:evenVBand="0" w:oddHBand="1" w:evenHBand="0" w:firstRowFirstColumn="0" w:firstRowLastColumn="0" w:lastRowFirstColumn="0" w:lastRowLastColumn="0"/>
            </w:pPr>
            <w:r>
              <w:t>$ 4,600 (to be paid directly to collaborators)</w:t>
            </w:r>
          </w:p>
        </w:tc>
      </w:tr>
      <w:tr w:rsidR="0037457F" w:rsidRPr="00BA72C3" w14:paraId="32E47BAA"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17AE1C52" w14:textId="77777777" w:rsidR="0037457F" w:rsidRPr="00BA72C3" w:rsidRDefault="0037457F" w:rsidP="001E37B3">
            <w:r w:rsidRPr="00BA72C3">
              <w:t>Total</w:t>
            </w:r>
          </w:p>
        </w:tc>
        <w:tc>
          <w:tcPr>
            <w:tcW w:w="2500" w:type="pct"/>
          </w:tcPr>
          <w:p w14:paraId="0D814298" w14:textId="24EE03DE" w:rsidR="0037457F" w:rsidRPr="00BA72C3" w:rsidRDefault="0037457F" w:rsidP="001E37B3">
            <w:pPr>
              <w:cnfStyle w:val="000000000000" w:firstRow="0" w:lastRow="0" w:firstColumn="0" w:lastColumn="0" w:oddVBand="0" w:evenVBand="0" w:oddHBand="0" w:evenHBand="0" w:firstRowFirstColumn="0" w:firstRowLastColumn="0" w:lastRowFirstColumn="0" w:lastRowLastColumn="0"/>
            </w:pPr>
            <w:r w:rsidRPr="00BA72C3">
              <w:t>$</w:t>
            </w:r>
            <w:r w:rsidR="00821D94">
              <w:t xml:space="preserve"> </w:t>
            </w:r>
            <w:r w:rsidR="00126276">
              <w:t>32,600 (</w:t>
            </w:r>
            <w:r w:rsidR="0043158A" w:rsidRPr="00BA72C3">
              <w:t>2</w:t>
            </w:r>
            <w:r w:rsidR="007C13EE">
              <w:t>8</w:t>
            </w:r>
            <w:r w:rsidR="00B557A4" w:rsidRPr="00BA72C3">
              <w:t>,</w:t>
            </w:r>
            <w:r w:rsidR="007C13EE">
              <w:t>000</w:t>
            </w:r>
            <w:r w:rsidR="00126276">
              <w:t xml:space="preserve"> + 4,600)</w:t>
            </w:r>
          </w:p>
        </w:tc>
      </w:tr>
    </w:tbl>
    <w:p w14:paraId="4FD6B7BD" w14:textId="77777777" w:rsidR="002649C1" w:rsidRPr="00BA72C3" w:rsidRDefault="002649C1" w:rsidP="001E37B3"/>
    <w:p w14:paraId="51AFBDCB" w14:textId="77777777" w:rsidR="002649C1" w:rsidRPr="00BA72C3" w:rsidRDefault="002649C1" w:rsidP="001E37B3"/>
    <w:p w14:paraId="0C5977FF" w14:textId="5DD646DE" w:rsidR="004B28BA" w:rsidRDefault="004D0785" w:rsidP="001E37B3">
      <w:r>
        <w:t>Budget Narrative</w:t>
      </w:r>
    </w:p>
    <w:p w14:paraId="0069A0A6" w14:textId="6F44A64A" w:rsidR="004D0785" w:rsidRDefault="004D0785" w:rsidP="001E37B3"/>
    <w:p w14:paraId="27B81596" w14:textId="2D1694B5" w:rsidR="004D0785" w:rsidRPr="007C13EE" w:rsidRDefault="004D0785" w:rsidP="004D0785">
      <w:pPr>
        <w:spacing w:after="120"/>
      </w:pPr>
      <w:r w:rsidRPr="007C13EE">
        <w:t xml:space="preserve">Salaries: Funding for 0.2 FTE equivalent for a Faculty research assistant. Annual salary was calculated at $46,150 plus $6,967 for other pay roll expenses (OPE) at 76%.( </w:t>
      </w:r>
      <w:hyperlink r:id="rId8" w:history="1">
        <w:r w:rsidRPr="007C13EE">
          <w:t>https://research.oregonstate.edu/osraa/forms-and-rates/other-payroll-expense-ope-information-and-estimated-rates</w:t>
        </w:r>
      </w:hyperlink>
      <w:r w:rsidRPr="007C13EE">
        <w:t>)</w:t>
      </w:r>
      <w:r w:rsidR="00471B97">
        <w:t xml:space="preserve"> </w:t>
      </w:r>
    </w:p>
    <w:p w14:paraId="5C20D928" w14:textId="1FEB0DCD" w:rsidR="004D0785" w:rsidRPr="007C13EE" w:rsidRDefault="004D0785" w:rsidP="004D0785">
      <w:pPr>
        <w:spacing w:after="120"/>
      </w:pPr>
      <w:r w:rsidRPr="007C13EE">
        <w:t xml:space="preserve">Salary for 350 h of undergraduate </w:t>
      </w:r>
      <w:proofErr w:type="gramStart"/>
      <w:r w:rsidRPr="007C13EE">
        <w:t>students</w:t>
      </w:r>
      <w:proofErr w:type="gramEnd"/>
      <w:r w:rsidRPr="007C13EE">
        <w:t xml:space="preserve"> assistance is requested at $6,000 at $17/h including benefits. Students are assisting with hop planting, training, irrigation, and harvest. </w:t>
      </w:r>
    </w:p>
    <w:p w14:paraId="7337C02D" w14:textId="77777777" w:rsidR="004D0785" w:rsidRPr="007C13EE" w:rsidRDefault="004D0785" w:rsidP="004D0785">
      <w:pPr>
        <w:spacing w:after="120"/>
      </w:pPr>
      <w:r w:rsidRPr="007C13EE">
        <w:t>Travel</w:t>
      </w:r>
    </w:p>
    <w:p w14:paraId="3CD466B9" w14:textId="659B9C8D" w:rsidR="004D0785" w:rsidRPr="007C13EE" w:rsidRDefault="004D0785" w:rsidP="004D0785">
      <w:pPr>
        <w:spacing w:after="120"/>
      </w:pPr>
      <w:r w:rsidRPr="007C13EE">
        <w:t>Mileage – $1,000 is requested for travel. Multiple trips per season are made to each research location</w:t>
      </w:r>
      <w:r w:rsidR="0076692C" w:rsidRPr="007C13EE">
        <w:t xml:space="preserve"> for approximate 1,785 miles at $0.56/mile</w:t>
      </w:r>
      <w:r w:rsidRPr="007C13EE">
        <w:t xml:space="preserve">. </w:t>
      </w:r>
    </w:p>
    <w:p w14:paraId="1DD1B8BF" w14:textId="2ACF2B85" w:rsidR="0076692C" w:rsidRPr="007C13EE" w:rsidRDefault="0076692C" w:rsidP="004D0785">
      <w:pPr>
        <w:spacing w:after="120"/>
      </w:pPr>
      <w:r w:rsidRPr="007C13EE">
        <w:t xml:space="preserve">USA Hops and summer meeting – we request $1,900 to attend to the HRC summer meeting and </w:t>
      </w:r>
      <w:r w:rsidR="00C976C5" w:rsidRPr="007C13EE">
        <w:t>the USA hop meeting.</w:t>
      </w:r>
    </w:p>
    <w:p w14:paraId="48E3A5C4" w14:textId="35B6A2A2" w:rsidR="004D0785" w:rsidRPr="007C13EE" w:rsidRDefault="004D0785" w:rsidP="004D0785">
      <w:pPr>
        <w:spacing w:after="120"/>
      </w:pPr>
      <w:r w:rsidRPr="007C13EE">
        <w:t>Materials. We request $</w:t>
      </w:r>
      <w:r w:rsidR="00C976C5" w:rsidRPr="007C13EE">
        <w:t>794</w:t>
      </w:r>
      <w:r w:rsidRPr="007C13EE">
        <w:t xml:space="preserve"> to procure materials and supplies, including </w:t>
      </w:r>
      <w:r w:rsidR="00C976C5" w:rsidRPr="007C13EE">
        <w:t xml:space="preserve">strings, </w:t>
      </w:r>
      <w:r w:rsidRPr="007C13EE">
        <w:t xml:space="preserve">sampling supplies, </w:t>
      </w:r>
      <w:r w:rsidR="00C976C5" w:rsidRPr="007C13EE">
        <w:t xml:space="preserve">maintenance material, </w:t>
      </w:r>
      <w:r w:rsidRPr="007C13EE">
        <w:t>personnel protective gear, and consumables.</w:t>
      </w:r>
    </w:p>
    <w:p w14:paraId="7ACED478" w14:textId="42FC6C68" w:rsidR="00C976C5" w:rsidRDefault="00C976C5" w:rsidP="004D0785">
      <w:pPr>
        <w:spacing w:after="120"/>
      </w:pPr>
      <w:r w:rsidRPr="007C13EE">
        <w:t xml:space="preserve">Others: A one acre hop yard is being installed at Lewis Brown farm with Cascade variety. We request $2,712 to cover for plot fees and additional materials needed like irrigation and poles. </w:t>
      </w:r>
    </w:p>
    <w:p w14:paraId="68D7B79B" w14:textId="3F27A005" w:rsidR="00126276" w:rsidRPr="007C13EE" w:rsidRDefault="00126276" w:rsidP="004D0785">
      <w:pPr>
        <w:spacing w:after="120"/>
      </w:pPr>
      <w:r>
        <w:t xml:space="preserve">Crop destruct: up to $4,600 in crop destruct charges to cover equivalent of 0.2 A in two locations. Estimated at $12/plant. This funding will not be paid the ARF, but rather directly to collaborator if needed. </w:t>
      </w:r>
    </w:p>
    <w:sectPr w:rsidR="00126276" w:rsidRPr="007C13EE" w:rsidSect="00382599">
      <w:type w:val="continuous"/>
      <w:pgSz w:w="12240" w:h="15840"/>
      <w:pgMar w:top="1440" w:right="1080" w:bottom="1440" w:left="108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3670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15606"/>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E1080"/>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11A9"/>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91806"/>
    <w:multiLevelType w:val="hybridMultilevel"/>
    <w:tmpl w:val="4D9CE454"/>
    <w:lvl w:ilvl="0" w:tplc="664CFB96">
      <w:start w:val="3"/>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5" w15:restartNumberingAfterBreak="0">
    <w:nsid w:val="1350297C"/>
    <w:multiLevelType w:val="hybridMultilevel"/>
    <w:tmpl w:val="1F069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C7A52"/>
    <w:multiLevelType w:val="multilevel"/>
    <w:tmpl w:val="BC3CEB5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4D7ED4"/>
    <w:multiLevelType w:val="hybridMultilevel"/>
    <w:tmpl w:val="C9A6990E"/>
    <w:lvl w:ilvl="0" w:tplc="2D267EF4">
      <w:start w:val="1"/>
      <w:numFmt w:val="decimal"/>
      <w:lvlText w:val="%1)"/>
      <w:lvlJc w:val="left"/>
      <w:pPr>
        <w:ind w:left="1432" w:hanging="360"/>
      </w:pPr>
      <w:rPr>
        <w:rFonts w:hint="default"/>
        <w:color w:val="383D3F"/>
        <w:w w:val="105"/>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8" w15:restartNumberingAfterBreak="0">
    <w:nsid w:val="279668E8"/>
    <w:multiLevelType w:val="hybridMultilevel"/>
    <w:tmpl w:val="006C704E"/>
    <w:lvl w:ilvl="0" w:tplc="C37E59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B253DD"/>
    <w:multiLevelType w:val="hybridMultilevel"/>
    <w:tmpl w:val="02864C90"/>
    <w:lvl w:ilvl="0" w:tplc="0942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732B2"/>
    <w:multiLevelType w:val="hybridMultilevel"/>
    <w:tmpl w:val="2C307CE6"/>
    <w:lvl w:ilvl="0" w:tplc="D69CAB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30696"/>
    <w:multiLevelType w:val="hybridMultilevel"/>
    <w:tmpl w:val="B4E0816C"/>
    <w:lvl w:ilvl="0" w:tplc="69EAC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017D6"/>
    <w:multiLevelType w:val="hybridMultilevel"/>
    <w:tmpl w:val="3A2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D41BB"/>
    <w:multiLevelType w:val="hybridMultilevel"/>
    <w:tmpl w:val="DEF27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AB3F52"/>
    <w:multiLevelType w:val="hybridMultilevel"/>
    <w:tmpl w:val="D70C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6000C"/>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05E14"/>
    <w:multiLevelType w:val="hybridMultilevel"/>
    <w:tmpl w:val="DA7438B6"/>
    <w:lvl w:ilvl="0" w:tplc="1FC0927C">
      <w:start w:val="1"/>
      <w:numFmt w:val="decimal"/>
      <w:lvlText w:val="%1)"/>
      <w:lvlJc w:val="left"/>
      <w:pPr>
        <w:ind w:left="1801" w:hanging="721"/>
      </w:pPr>
      <w:rPr>
        <w:rFonts w:hint="default"/>
        <w:w w:val="103"/>
      </w:rPr>
    </w:lvl>
    <w:lvl w:ilvl="1" w:tplc="265E5DD4">
      <w:numFmt w:val="bullet"/>
      <w:lvlText w:val="•"/>
      <w:lvlJc w:val="left"/>
      <w:pPr>
        <w:ind w:left="2667" w:hanging="721"/>
      </w:pPr>
      <w:rPr>
        <w:rFonts w:hint="default"/>
      </w:rPr>
    </w:lvl>
    <w:lvl w:ilvl="2" w:tplc="F59E4588">
      <w:numFmt w:val="bullet"/>
      <w:lvlText w:val="•"/>
      <w:lvlJc w:val="left"/>
      <w:pPr>
        <w:ind w:left="3528" w:hanging="721"/>
      </w:pPr>
      <w:rPr>
        <w:rFonts w:hint="default"/>
      </w:rPr>
    </w:lvl>
    <w:lvl w:ilvl="3" w:tplc="BD808C76">
      <w:numFmt w:val="bullet"/>
      <w:lvlText w:val="•"/>
      <w:lvlJc w:val="left"/>
      <w:pPr>
        <w:ind w:left="4390" w:hanging="721"/>
      </w:pPr>
      <w:rPr>
        <w:rFonts w:hint="default"/>
      </w:rPr>
    </w:lvl>
    <w:lvl w:ilvl="4" w:tplc="34C83306">
      <w:numFmt w:val="bullet"/>
      <w:lvlText w:val="•"/>
      <w:lvlJc w:val="left"/>
      <w:pPr>
        <w:ind w:left="5251" w:hanging="721"/>
      </w:pPr>
      <w:rPr>
        <w:rFonts w:hint="default"/>
      </w:rPr>
    </w:lvl>
    <w:lvl w:ilvl="5" w:tplc="EEA4AD86">
      <w:numFmt w:val="bullet"/>
      <w:lvlText w:val="•"/>
      <w:lvlJc w:val="left"/>
      <w:pPr>
        <w:ind w:left="6113" w:hanging="721"/>
      </w:pPr>
      <w:rPr>
        <w:rFonts w:hint="default"/>
      </w:rPr>
    </w:lvl>
    <w:lvl w:ilvl="6" w:tplc="7F263FC2">
      <w:numFmt w:val="bullet"/>
      <w:lvlText w:val="•"/>
      <w:lvlJc w:val="left"/>
      <w:pPr>
        <w:ind w:left="6974" w:hanging="721"/>
      </w:pPr>
      <w:rPr>
        <w:rFonts w:hint="default"/>
      </w:rPr>
    </w:lvl>
    <w:lvl w:ilvl="7" w:tplc="4AEEF648">
      <w:numFmt w:val="bullet"/>
      <w:lvlText w:val="•"/>
      <w:lvlJc w:val="left"/>
      <w:pPr>
        <w:ind w:left="7836" w:hanging="721"/>
      </w:pPr>
      <w:rPr>
        <w:rFonts w:hint="default"/>
      </w:rPr>
    </w:lvl>
    <w:lvl w:ilvl="8" w:tplc="C076003C">
      <w:numFmt w:val="bullet"/>
      <w:lvlText w:val="•"/>
      <w:lvlJc w:val="left"/>
      <w:pPr>
        <w:ind w:left="8697" w:hanging="721"/>
      </w:pPr>
      <w:rPr>
        <w:rFonts w:hint="default"/>
      </w:rPr>
    </w:lvl>
  </w:abstractNum>
  <w:abstractNum w:abstractNumId="17" w15:restartNumberingAfterBreak="0">
    <w:nsid w:val="3E807571"/>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95AAD"/>
    <w:multiLevelType w:val="hybridMultilevel"/>
    <w:tmpl w:val="F46A4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3E4716"/>
    <w:multiLevelType w:val="hybridMultilevel"/>
    <w:tmpl w:val="601A62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01ABD"/>
    <w:multiLevelType w:val="hybridMultilevel"/>
    <w:tmpl w:val="630AF4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D2A55"/>
    <w:multiLevelType w:val="hybridMultilevel"/>
    <w:tmpl w:val="68723BF0"/>
    <w:lvl w:ilvl="0" w:tplc="B008A54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AC130E8"/>
    <w:multiLevelType w:val="hybridMultilevel"/>
    <w:tmpl w:val="047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3AF"/>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E2D4C"/>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93723"/>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8"/>
  </w:num>
  <w:num w:numId="5">
    <w:abstractNumId w:val="8"/>
  </w:num>
  <w:num w:numId="6">
    <w:abstractNumId w:val="16"/>
  </w:num>
  <w:num w:numId="7">
    <w:abstractNumId w:val="7"/>
  </w:num>
  <w:num w:numId="8">
    <w:abstractNumId w:val="4"/>
  </w:num>
  <w:num w:numId="9">
    <w:abstractNumId w:val="0"/>
  </w:num>
  <w:num w:numId="10">
    <w:abstractNumId w:val="23"/>
  </w:num>
  <w:num w:numId="11">
    <w:abstractNumId w:val="1"/>
  </w:num>
  <w:num w:numId="12">
    <w:abstractNumId w:val="25"/>
  </w:num>
  <w:num w:numId="13">
    <w:abstractNumId w:val="6"/>
  </w:num>
  <w:num w:numId="14">
    <w:abstractNumId w:val="22"/>
  </w:num>
  <w:num w:numId="15">
    <w:abstractNumId w:val="15"/>
  </w:num>
  <w:num w:numId="16">
    <w:abstractNumId w:val="21"/>
  </w:num>
  <w:num w:numId="17">
    <w:abstractNumId w:val="19"/>
  </w:num>
  <w:num w:numId="18">
    <w:abstractNumId w:val="20"/>
  </w:num>
  <w:num w:numId="19">
    <w:abstractNumId w:val="2"/>
  </w:num>
  <w:num w:numId="20">
    <w:abstractNumId w:val="12"/>
  </w:num>
  <w:num w:numId="21">
    <w:abstractNumId w:val="14"/>
  </w:num>
  <w:num w:numId="22">
    <w:abstractNumId w:val="11"/>
  </w:num>
  <w:num w:numId="23">
    <w:abstractNumId w:val="3"/>
  </w:num>
  <w:num w:numId="24">
    <w:abstractNumId w:val="2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W1MDazNLEwMTA3sjBS0lEKTi0uzszPAykwNK8FAMSVVUYtAAAA"/>
    <w:docVar w:name="EN.InstantFormat" w:val="&lt;ENInstantFormat&gt;&lt;Enabled&gt;1&lt;/Enabled&gt;&lt;ScanUnformatted&gt;1&lt;/ScanUnformatted&gt;&lt;ScanChanges&gt;1&lt;/ScanChanges&gt;&lt;Suspended&gt;0&lt;/Suspended&gt;&lt;/ENInstantFormat&gt;"/>
    <w:docVar w:name="EN.Layout" w:val="&lt;ENLayout&gt;&lt;Style&gt;Weed Science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p90tfe2drwpveswrtx2wdndte5ess5awpw&quot;&gt;My EndNote Library-Converted&lt;record-ids&gt;&lt;item&gt;1585&lt;/item&gt;&lt;item&gt;1586&lt;/item&gt;&lt;/record-ids&gt;&lt;/item&gt;&lt;/Libraries&gt;"/>
  </w:docVars>
  <w:rsids>
    <w:rsidRoot w:val="000E4D44"/>
    <w:rsid w:val="00003822"/>
    <w:rsid w:val="000058EE"/>
    <w:rsid w:val="00005F83"/>
    <w:rsid w:val="0001303A"/>
    <w:rsid w:val="00020DBB"/>
    <w:rsid w:val="0002214D"/>
    <w:rsid w:val="00025E4E"/>
    <w:rsid w:val="00030F31"/>
    <w:rsid w:val="00033C54"/>
    <w:rsid w:val="00033DD2"/>
    <w:rsid w:val="00033E0A"/>
    <w:rsid w:val="00037DC7"/>
    <w:rsid w:val="00037F17"/>
    <w:rsid w:val="00053DFF"/>
    <w:rsid w:val="0005511D"/>
    <w:rsid w:val="00075141"/>
    <w:rsid w:val="00075A0E"/>
    <w:rsid w:val="00077697"/>
    <w:rsid w:val="00084245"/>
    <w:rsid w:val="00085214"/>
    <w:rsid w:val="00086B0E"/>
    <w:rsid w:val="00090CB8"/>
    <w:rsid w:val="0009211E"/>
    <w:rsid w:val="000A0497"/>
    <w:rsid w:val="000A2A3F"/>
    <w:rsid w:val="000A3227"/>
    <w:rsid w:val="000A6C93"/>
    <w:rsid w:val="000B0436"/>
    <w:rsid w:val="000B1B38"/>
    <w:rsid w:val="000B3D3D"/>
    <w:rsid w:val="000C0104"/>
    <w:rsid w:val="000C113F"/>
    <w:rsid w:val="000C3F83"/>
    <w:rsid w:val="000C5662"/>
    <w:rsid w:val="000E16EC"/>
    <w:rsid w:val="000E4D44"/>
    <w:rsid w:val="000E6620"/>
    <w:rsid w:val="000E6AC2"/>
    <w:rsid w:val="000F0A14"/>
    <w:rsid w:val="000F6A6F"/>
    <w:rsid w:val="000F7EEE"/>
    <w:rsid w:val="00102D02"/>
    <w:rsid w:val="00107508"/>
    <w:rsid w:val="00110417"/>
    <w:rsid w:val="00113730"/>
    <w:rsid w:val="00116487"/>
    <w:rsid w:val="00116AD0"/>
    <w:rsid w:val="00116E99"/>
    <w:rsid w:val="00122FED"/>
    <w:rsid w:val="00123FCF"/>
    <w:rsid w:val="00126276"/>
    <w:rsid w:val="001301AF"/>
    <w:rsid w:val="00131B57"/>
    <w:rsid w:val="001346BC"/>
    <w:rsid w:val="00134F09"/>
    <w:rsid w:val="00135B7D"/>
    <w:rsid w:val="00135F82"/>
    <w:rsid w:val="00137589"/>
    <w:rsid w:val="0014589C"/>
    <w:rsid w:val="001464D1"/>
    <w:rsid w:val="001478D7"/>
    <w:rsid w:val="0015070F"/>
    <w:rsid w:val="001520EE"/>
    <w:rsid w:val="001522DA"/>
    <w:rsid w:val="00155B88"/>
    <w:rsid w:val="00160BE5"/>
    <w:rsid w:val="00162BA9"/>
    <w:rsid w:val="0016512D"/>
    <w:rsid w:val="0016790D"/>
    <w:rsid w:val="00172DFA"/>
    <w:rsid w:val="00174297"/>
    <w:rsid w:val="00177F54"/>
    <w:rsid w:val="00180E65"/>
    <w:rsid w:val="00181A55"/>
    <w:rsid w:val="00183856"/>
    <w:rsid w:val="00183C56"/>
    <w:rsid w:val="0018516A"/>
    <w:rsid w:val="00185DA6"/>
    <w:rsid w:val="00195DC7"/>
    <w:rsid w:val="001A11BC"/>
    <w:rsid w:val="001A2DA0"/>
    <w:rsid w:val="001A3835"/>
    <w:rsid w:val="001B6C3F"/>
    <w:rsid w:val="001C5218"/>
    <w:rsid w:val="001C5D88"/>
    <w:rsid w:val="001D0D4C"/>
    <w:rsid w:val="001D7000"/>
    <w:rsid w:val="001D7327"/>
    <w:rsid w:val="001E1BCC"/>
    <w:rsid w:val="001E34C1"/>
    <w:rsid w:val="001E37B3"/>
    <w:rsid w:val="001F1F52"/>
    <w:rsid w:val="001F297F"/>
    <w:rsid w:val="001F3999"/>
    <w:rsid w:val="001F484D"/>
    <w:rsid w:val="00203A74"/>
    <w:rsid w:val="00205C08"/>
    <w:rsid w:val="002116F3"/>
    <w:rsid w:val="00212D08"/>
    <w:rsid w:val="0021464D"/>
    <w:rsid w:val="00222602"/>
    <w:rsid w:val="00223A6B"/>
    <w:rsid w:val="00223AD8"/>
    <w:rsid w:val="002307C9"/>
    <w:rsid w:val="002353A4"/>
    <w:rsid w:val="00241657"/>
    <w:rsid w:val="002435F8"/>
    <w:rsid w:val="00245B41"/>
    <w:rsid w:val="00251D84"/>
    <w:rsid w:val="002521F5"/>
    <w:rsid w:val="002615DC"/>
    <w:rsid w:val="002634FD"/>
    <w:rsid w:val="002649C1"/>
    <w:rsid w:val="00267505"/>
    <w:rsid w:val="00273D82"/>
    <w:rsid w:val="00275EB0"/>
    <w:rsid w:val="002803BB"/>
    <w:rsid w:val="002A007B"/>
    <w:rsid w:val="002A3DE7"/>
    <w:rsid w:val="002B7873"/>
    <w:rsid w:val="002C2189"/>
    <w:rsid w:val="002C2DBD"/>
    <w:rsid w:val="002D2726"/>
    <w:rsid w:val="002D31A1"/>
    <w:rsid w:val="002D443B"/>
    <w:rsid w:val="002D725F"/>
    <w:rsid w:val="002E1FB9"/>
    <w:rsid w:val="002E6C1C"/>
    <w:rsid w:val="002E7AE0"/>
    <w:rsid w:val="002F59AB"/>
    <w:rsid w:val="002F71F1"/>
    <w:rsid w:val="0030008B"/>
    <w:rsid w:val="003058F9"/>
    <w:rsid w:val="003079F9"/>
    <w:rsid w:val="00310406"/>
    <w:rsid w:val="00312352"/>
    <w:rsid w:val="003124EC"/>
    <w:rsid w:val="00313319"/>
    <w:rsid w:val="00313CC5"/>
    <w:rsid w:val="003148C1"/>
    <w:rsid w:val="0032387B"/>
    <w:rsid w:val="003246BC"/>
    <w:rsid w:val="00327700"/>
    <w:rsid w:val="00331074"/>
    <w:rsid w:val="00335B3F"/>
    <w:rsid w:val="00346DF6"/>
    <w:rsid w:val="003474B8"/>
    <w:rsid w:val="00347D5B"/>
    <w:rsid w:val="003513C1"/>
    <w:rsid w:val="00352E35"/>
    <w:rsid w:val="00355D35"/>
    <w:rsid w:val="003620F9"/>
    <w:rsid w:val="00372247"/>
    <w:rsid w:val="00372942"/>
    <w:rsid w:val="00372BDF"/>
    <w:rsid w:val="00373C44"/>
    <w:rsid w:val="0037457F"/>
    <w:rsid w:val="00374A64"/>
    <w:rsid w:val="003752A6"/>
    <w:rsid w:val="00382599"/>
    <w:rsid w:val="00385ECB"/>
    <w:rsid w:val="0038687F"/>
    <w:rsid w:val="0039053A"/>
    <w:rsid w:val="003934D7"/>
    <w:rsid w:val="003A06C8"/>
    <w:rsid w:val="003A3BF2"/>
    <w:rsid w:val="003A50CE"/>
    <w:rsid w:val="003A5983"/>
    <w:rsid w:val="003B0873"/>
    <w:rsid w:val="003B522D"/>
    <w:rsid w:val="003C0BC0"/>
    <w:rsid w:val="003C4C2B"/>
    <w:rsid w:val="003C62AD"/>
    <w:rsid w:val="003D0EA0"/>
    <w:rsid w:val="003D30BD"/>
    <w:rsid w:val="003E00BD"/>
    <w:rsid w:val="003F4A16"/>
    <w:rsid w:val="003F7B1B"/>
    <w:rsid w:val="004028BC"/>
    <w:rsid w:val="004046A4"/>
    <w:rsid w:val="0041592F"/>
    <w:rsid w:val="00415C56"/>
    <w:rsid w:val="00417BC8"/>
    <w:rsid w:val="004218B2"/>
    <w:rsid w:val="00423CFF"/>
    <w:rsid w:val="004268AC"/>
    <w:rsid w:val="0043158A"/>
    <w:rsid w:val="00432D9A"/>
    <w:rsid w:val="00432F2C"/>
    <w:rsid w:val="0043354F"/>
    <w:rsid w:val="00436A14"/>
    <w:rsid w:val="00441DEA"/>
    <w:rsid w:val="0044255A"/>
    <w:rsid w:val="00444C3B"/>
    <w:rsid w:val="004455C8"/>
    <w:rsid w:val="00454B63"/>
    <w:rsid w:val="00460A44"/>
    <w:rsid w:val="00461149"/>
    <w:rsid w:val="00461B3D"/>
    <w:rsid w:val="00461E9F"/>
    <w:rsid w:val="00464131"/>
    <w:rsid w:val="00471B97"/>
    <w:rsid w:val="00483BAE"/>
    <w:rsid w:val="00484561"/>
    <w:rsid w:val="00486304"/>
    <w:rsid w:val="0049651F"/>
    <w:rsid w:val="004968A6"/>
    <w:rsid w:val="004A090A"/>
    <w:rsid w:val="004A29AB"/>
    <w:rsid w:val="004A672C"/>
    <w:rsid w:val="004B07D5"/>
    <w:rsid w:val="004B1134"/>
    <w:rsid w:val="004B259B"/>
    <w:rsid w:val="004B28BA"/>
    <w:rsid w:val="004B3EFD"/>
    <w:rsid w:val="004B7111"/>
    <w:rsid w:val="004C15F6"/>
    <w:rsid w:val="004C4F60"/>
    <w:rsid w:val="004C57FA"/>
    <w:rsid w:val="004C7474"/>
    <w:rsid w:val="004C7CB9"/>
    <w:rsid w:val="004D0785"/>
    <w:rsid w:val="004D189C"/>
    <w:rsid w:val="004D2F56"/>
    <w:rsid w:val="004D4949"/>
    <w:rsid w:val="004E3538"/>
    <w:rsid w:val="004E3CC6"/>
    <w:rsid w:val="004E3F5F"/>
    <w:rsid w:val="004E6A42"/>
    <w:rsid w:val="004F1671"/>
    <w:rsid w:val="004F5A93"/>
    <w:rsid w:val="005028F1"/>
    <w:rsid w:val="005045E8"/>
    <w:rsid w:val="00510557"/>
    <w:rsid w:val="00511230"/>
    <w:rsid w:val="005137B9"/>
    <w:rsid w:val="00520802"/>
    <w:rsid w:val="00520855"/>
    <w:rsid w:val="00523311"/>
    <w:rsid w:val="00525B8A"/>
    <w:rsid w:val="005354E2"/>
    <w:rsid w:val="005378CA"/>
    <w:rsid w:val="00542124"/>
    <w:rsid w:val="0054367B"/>
    <w:rsid w:val="005440C0"/>
    <w:rsid w:val="0054521A"/>
    <w:rsid w:val="0054782A"/>
    <w:rsid w:val="00551179"/>
    <w:rsid w:val="005668D8"/>
    <w:rsid w:val="005715EA"/>
    <w:rsid w:val="005723D6"/>
    <w:rsid w:val="00582591"/>
    <w:rsid w:val="005910A7"/>
    <w:rsid w:val="00592333"/>
    <w:rsid w:val="00593A33"/>
    <w:rsid w:val="00597866"/>
    <w:rsid w:val="005A49C6"/>
    <w:rsid w:val="005A4EBE"/>
    <w:rsid w:val="005A6EFA"/>
    <w:rsid w:val="005B2A51"/>
    <w:rsid w:val="005B2FF9"/>
    <w:rsid w:val="005B4292"/>
    <w:rsid w:val="005B4A13"/>
    <w:rsid w:val="005B619B"/>
    <w:rsid w:val="005C22AA"/>
    <w:rsid w:val="005C7DEA"/>
    <w:rsid w:val="005D1846"/>
    <w:rsid w:val="005D660D"/>
    <w:rsid w:val="005D7D68"/>
    <w:rsid w:val="005F0936"/>
    <w:rsid w:val="00604B84"/>
    <w:rsid w:val="00606277"/>
    <w:rsid w:val="00606799"/>
    <w:rsid w:val="00611BB2"/>
    <w:rsid w:val="00612552"/>
    <w:rsid w:val="00617034"/>
    <w:rsid w:val="00617186"/>
    <w:rsid w:val="006207CB"/>
    <w:rsid w:val="006250E5"/>
    <w:rsid w:val="0062693F"/>
    <w:rsid w:val="00642C9F"/>
    <w:rsid w:val="00646FA4"/>
    <w:rsid w:val="00653B01"/>
    <w:rsid w:val="00657833"/>
    <w:rsid w:val="00664F29"/>
    <w:rsid w:val="00665590"/>
    <w:rsid w:val="00672DA4"/>
    <w:rsid w:val="00673B05"/>
    <w:rsid w:val="0068287A"/>
    <w:rsid w:val="0068332F"/>
    <w:rsid w:val="00685CB6"/>
    <w:rsid w:val="00695FCC"/>
    <w:rsid w:val="0069695F"/>
    <w:rsid w:val="00696BE8"/>
    <w:rsid w:val="00697FAC"/>
    <w:rsid w:val="006A0891"/>
    <w:rsid w:val="006B1700"/>
    <w:rsid w:val="006B1A4D"/>
    <w:rsid w:val="006B2EE1"/>
    <w:rsid w:val="006C07E3"/>
    <w:rsid w:val="006C30AD"/>
    <w:rsid w:val="006D11FA"/>
    <w:rsid w:val="006D253E"/>
    <w:rsid w:val="006D2AEF"/>
    <w:rsid w:val="006D5382"/>
    <w:rsid w:val="006D5B07"/>
    <w:rsid w:val="006D7D35"/>
    <w:rsid w:val="006E14D4"/>
    <w:rsid w:val="006E7694"/>
    <w:rsid w:val="006F010E"/>
    <w:rsid w:val="006F638A"/>
    <w:rsid w:val="006F6CBB"/>
    <w:rsid w:val="00700806"/>
    <w:rsid w:val="00707D16"/>
    <w:rsid w:val="00710F8E"/>
    <w:rsid w:val="00713F8C"/>
    <w:rsid w:val="007204BF"/>
    <w:rsid w:val="00721DF3"/>
    <w:rsid w:val="007230DF"/>
    <w:rsid w:val="007246B8"/>
    <w:rsid w:val="00724DAF"/>
    <w:rsid w:val="00732EA6"/>
    <w:rsid w:val="007361BD"/>
    <w:rsid w:val="00744CC5"/>
    <w:rsid w:val="00744E25"/>
    <w:rsid w:val="00755FCE"/>
    <w:rsid w:val="007648CE"/>
    <w:rsid w:val="0076692C"/>
    <w:rsid w:val="007766CC"/>
    <w:rsid w:val="00780673"/>
    <w:rsid w:val="00782B71"/>
    <w:rsid w:val="00783487"/>
    <w:rsid w:val="0078529A"/>
    <w:rsid w:val="00791BB3"/>
    <w:rsid w:val="0079281B"/>
    <w:rsid w:val="007972AC"/>
    <w:rsid w:val="007A07B6"/>
    <w:rsid w:val="007A0B8E"/>
    <w:rsid w:val="007A4B3F"/>
    <w:rsid w:val="007B1C97"/>
    <w:rsid w:val="007B44F8"/>
    <w:rsid w:val="007B7B83"/>
    <w:rsid w:val="007C009A"/>
    <w:rsid w:val="007C13EE"/>
    <w:rsid w:val="007C6FFE"/>
    <w:rsid w:val="007D36A2"/>
    <w:rsid w:val="007E73CD"/>
    <w:rsid w:val="007F343B"/>
    <w:rsid w:val="007F3FD6"/>
    <w:rsid w:val="007F48B8"/>
    <w:rsid w:val="007F51F2"/>
    <w:rsid w:val="00800561"/>
    <w:rsid w:val="0080547E"/>
    <w:rsid w:val="00815BB9"/>
    <w:rsid w:val="00815EBB"/>
    <w:rsid w:val="00815FDD"/>
    <w:rsid w:val="008168EF"/>
    <w:rsid w:val="00816938"/>
    <w:rsid w:val="00821D94"/>
    <w:rsid w:val="008273E1"/>
    <w:rsid w:val="00827B6D"/>
    <w:rsid w:val="00830D45"/>
    <w:rsid w:val="00832E19"/>
    <w:rsid w:val="00840389"/>
    <w:rsid w:val="00844267"/>
    <w:rsid w:val="00846D7C"/>
    <w:rsid w:val="00861BA8"/>
    <w:rsid w:val="00865D7D"/>
    <w:rsid w:val="00893493"/>
    <w:rsid w:val="008979B1"/>
    <w:rsid w:val="008A0D92"/>
    <w:rsid w:val="008A4F04"/>
    <w:rsid w:val="008A7B17"/>
    <w:rsid w:val="008B06BC"/>
    <w:rsid w:val="008B2847"/>
    <w:rsid w:val="008B311B"/>
    <w:rsid w:val="008B4722"/>
    <w:rsid w:val="008B4723"/>
    <w:rsid w:val="008C0F6A"/>
    <w:rsid w:val="008C2B9E"/>
    <w:rsid w:val="008C70B4"/>
    <w:rsid w:val="008D5086"/>
    <w:rsid w:val="008E2A8E"/>
    <w:rsid w:val="008E2FC6"/>
    <w:rsid w:val="008E5CC9"/>
    <w:rsid w:val="008E60F2"/>
    <w:rsid w:val="008E67F5"/>
    <w:rsid w:val="008F0DD5"/>
    <w:rsid w:val="00911659"/>
    <w:rsid w:val="009240D5"/>
    <w:rsid w:val="009266C3"/>
    <w:rsid w:val="00927E4E"/>
    <w:rsid w:val="0093604B"/>
    <w:rsid w:val="009375BF"/>
    <w:rsid w:val="009411B6"/>
    <w:rsid w:val="0094484E"/>
    <w:rsid w:val="009448FD"/>
    <w:rsid w:val="00946136"/>
    <w:rsid w:val="00947108"/>
    <w:rsid w:val="00947EB3"/>
    <w:rsid w:val="0096182B"/>
    <w:rsid w:val="009748DA"/>
    <w:rsid w:val="00977E28"/>
    <w:rsid w:val="00997D17"/>
    <w:rsid w:val="009A4A0B"/>
    <w:rsid w:val="009A5F90"/>
    <w:rsid w:val="009B2999"/>
    <w:rsid w:val="009B5221"/>
    <w:rsid w:val="009C01C6"/>
    <w:rsid w:val="009C1AF4"/>
    <w:rsid w:val="009C28DB"/>
    <w:rsid w:val="009C3233"/>
    <w:rsid w:val="009C7251"/>
    <w:rsid w:val="009D023D"/>
    <w:rsid w:val="009E2374"/>
    <w:rsid w:val="009E3F3E"/>
    <w:rsid w:val="009E45B0"/>
    <w:rsid w:val="009E47DC"/>
    <w:rsid w:val="009E5BF5"/>
    <w:rsid w:val="009F1F5B"/>
    <w:rsid w:val="009F242C"/>
    <w:rsid w:val="009F2A7F"/>
    <w:rsid w:val="009F5662"/>
    <w:rsid w:val="00A00C0B"/>
    <w:rsid w:val="00A03296"/>
    <w:rsid w:val="00A1092E"/>
    <w:rsid w:val="00A10EF0"/>
    <w:rsid w:val="00A13321"/>
    <w:rsid w:val="00A168FD"/>
    <w:rsid w:val="00A16984"/>
    <w:rsid w:val="00A22471"/>
    <w:rsid w:val="00A2386A"/>
    <w:rsid w:val="00A25756"/>
    <w:rsid w:val="00A343AC"/>
    <w:rsid w:val="00A36B41"/>
    <w:rsid w:val="00A44C58"/>
    <w:rsid w:val="00A44D24"/>
    <w:rsid w:val="00A470B9"/>
    <w:rsid w:val="00A54D37"/>
    <w:rsid w:val="00A57881"/>
    <w:rsid w:val="00A64005"/>
    <w:rsid w:val="00A73FDE"/>
    <w:rsid w:val="00A82525"/>
    <w:rsid w:val="00A833E1"/>
    <w:rsid w:val="00A83814"/>
    <w:rsid w:val="00A83A7B"/>
    <w:rsid w:val="00A848B5"/>
    <w:rsid w:val="00A86AE9"/>
    <w:rsid w:val="00A945EA"/>
    <w:rsid w:val="00A95097"/>
    <w:rsid w:val="00A97DEC"/>
    <w:rsid w:val="00AA1B31"/>
    <w:rsid w:val="00AB0600"/>
    <w:rsid w:val="00AB201E"/>
    <w:rsid w:val="00AB22AC"/>
    <w:rsid w:val="00AB6C1D"/>
    <w:rsid w:val="00AC1D72"/>
    <w:rsid w:val="00AC2529"/>
    <w:rsid w:val="00AC6690"/>
    <w:rsid w:val="00AD363C"/>
    <w:rsid w:val="00AD695D"/>
    <w:rsid w:val="00AD6BF1"/>
    <w:rsid w:val="00AD7A22"/>
    <w:rsid w:val="00AE2573"/>
    <w:rsid w:val="00AE68E2"/>
    <w:rsid w:val="00AE724A"/>
    <w:rsid w:val="00AF41AC"/>
    <w:rsid w:val="00AF7893"/>
    <w:rsid w:val="00B02BA8"/>
    <w:rsid w:val="00B04E11"/>
    <w:rsid w:val="00B06385"/>
    <w:rsid w:val="00B07FD8"/>
    <w:rsid w:val="00B10343"/>
    <w:rsid w:val="00B144E9"/>
    <w:rsid w:val="00B14C59"/>
    <w:rsid w:val="00B15F3B"/>
    <w:rsid w:val="00B27BC0"/>
    <w:rsid w:val="00B307AF"/>
    <w:rsid w:val="00B31588"/>
    <w:rsid w:val="00B35201"/>
    <w:rsid w:val="00B41B2F"/>
    <w:rsid w:val="00B420F5"/>
    <w:rsid w:val="00B43D34"/>
    <w:rsid w:val="00B46482"/>
    <w:rsid w:val="00B5128A"/>
    <w:rsid w:val="00B51A5E"/>
    <w:rsid w:val="00B5313D"/>
    <w:rsid w:val="00B557A4"/>
    <w:rsid w:val="00B57D66"/>
    <w:rsid w:val="00B6023D"/>
    <w:rsid w:val="00B66CEA"/>
    <w:rsid w:val="00B67566"/>
    <w:rsid w:val="00B67F01"/>
    <w:rsid w:val="00B92DAF"/>
    <w:rsid w:val="00B93417"/>
    <w:rsid w:val="00B95AD2"/>
    <w:rsid w:val="00BA04FF"/>
    <w:rsid w:val="00BA0D8E"/>
    <w:rsid w:val="00BA1E69"/>
    <w:rsid w:val="00BA72C3"/>
    <w:rsid w:val="00BB1D64"/>
    <w:rsid w:val="00BB2EA6"/>
    <w:rsid w:val="00BB56A4"/>
    <w:rsid w:val="00BB6119"/>
    <w:rsid w:val="00BB717A"/>
    <w:rsid w:val="00BB74D1"/>
    <w:rsid w:val="00BC44C0"/>
    <w:rsid w:val="00BD1A89"/>
    <w:rsid w:val="00BD2E68"/>
    <w:rsid w:val="00BD668A"/>
    <w:rsid w:val="00BE0459"/>
    <w:rsid w:val="00BE2E61"/>
    <w:rsid w:val="00BE4700"/>
    <w:rsid w:val="00BE659A"/>
    <w:rsid w:val="00BF20B0"/>
    <w:rsid w:val="00BF45AD"/>
    <w:rsid w:val="00BF575F"/>
    <w:rsid w:val="00BF6DD3"/>
    <w:rsid w:val="00C00CC2"/>
    <w:rsid w:val="00C016B9"/>
    <w:rsid w:val="00C036CF"/>
    <w:rsid w:val="00C110E3"/>
    <w:rsid w:val="00C1155C"/>
    <w:rsid w:val="00C33AA3"/>
    <w:rsid w:val="00C3789F"/>
    <w:rsid w:val="00C50244"/>
    <w:rsid w:val="00C53A9F"/>
    <w:rsid w:val="00C53E1E"/>
    <w:rsid w:val="00C55343"/>
    <w:rsid w:val="00C621BE"/>
    <w:rsid w:val="00C63B76"/>
    <w:rsid w:val="00C65245"/>
    <w:rsid w:val="00C735C8"/>
    <w:rsid w:val="00C75764"/>
    <w:rsid w:val="00C76034"/>
    <w:rsid w:val="00C76218"/>
    <w:rsid w:val="00C77424"/>
    <w:rsid w:val="00C80EAA"/>
    <w:rsid w:val="00C8147B"/>
    <w:rsid w:val="00C829C9"/>
    <w:rsid w:val="00C83BBA"/>
    <w:rsid w:val="00C844FD"/>
    <w:rsid w:val="00C8540C"/>
    <w:rsid w:val="00C86979"/>
    <w:rsid w:val="00C873BB"/>
    <w:rsid w:val="00C90E9C"/>
    <w:rsid w:val="00C916C3"/>
    <w:rsid w:val="00C96FC5"/>
    <w:rsid w:val="00C976C5"/>
    <w:rsid w:val="00CA285C"/>
    <w:rsid w:val="00CA5B32"/>
    <w:rsid w:val="00CA6DB2"/>
    <w:rsid w:val="00CB613D"/>
    <w:rsid w:val="00CC6F57"/>
    <w:rsid w:val="00CC7E0C"/>
    <w:rsid w:val="00CD1471"/>
    <w:rsid w:val="00CD376A"/>
    <w:rsid w:val="00CD6FA4"/>
    <w:rsid w:val="00CE0BA4"/>
    <w:rsid w:val="00CE2BC4"/>
    <w:rsid w:val="00CE3B5D"/>
    <w:rsid w:val="00CE6CA4"/>
    <w:rsid w:val="00CE7CDF"/>
    <w:rsid w:val="00CF1650"/>
    <w:rsid w:val="00CF705D"/>
    <w:rsid w:val="00D16113"/>
    <w:rsid w:val="00D16220"/>
    <w:rsid w:val="00D17CBB"/>
    <w:rsid w:val="00D26E7A"/>
    <w:rsid w:val="00D30C2A"/>
    <w:rsid w:val="00D34A18"/>
    <w:rsid w:val="00D377B5"/>
    <w:rsid w:val="00D42E65"/>
    <w:rsid w:val="00D46817"/>
    <w:rsid w:val="00D50A4A"/>
    <w:rsid w:val="00D52B54"/>
    <w:rsid w:val="00D55415"/>
    <w:rsid w:val="00D55522"/>
    <w:rsid w:val="00D55E31"/>
    <w:rsid w:val="00D57264"/>
    <w:rsid w:val="00D62494"/>
    <w:rsid w:val="00D72C1D"/>
    <w:rsid w:val="00D76312"/>
    <w:rsid w:val="00D81B0D"/>
    <w:rsid w:val="00D82C21"/>
    <w:rsid w:val="00D84CA4"/>
    <w:rsid w:val="00D84DAC"/>
    <w:rsid w:val="00D8737F"/>
    <w:rsid w:val="00D95239"/>
    <w:rsid w:val="00DA0228"/>
    <w:rsid w:val="00DA072B"/>
    <w:rsid w:val="00DA2749"/>
    <w:rsid w:val="00DA3331"/>
    <w:rsid w:val="00DA7DEC"/>
    <w:rsid w:val="00DC1492"/>
    <w:rsid w:val="00DC19DC"/>
    <w:rsid w:val="00DC5726"/>
    <w:rsid w:val="00DC5B6A"/>
    <w:rsid w:val="00DD2B51"/>
    <w:rsid w:val="00DE48AA"/>
    <w:rsid w:val="00DE63CC"/>
    <w:rsid w:val="00DF3C08"/>
    <w:rsid w:val="00DF6D59"/>
    <w:rsid w:val="00E0480F"/>
    <w:rsid w:val="00E062D0"/>
    <w:rsid w:val="00E102D9"/>
    <w:rsid w:val="00E12F55"/>
    <w:rsid w:val="00E13BBF"/>
    <w:rsid w:val="00E25F33"/>
    <w:rsid w:val="00E31158"/>
    <w:rsid w:val="00E3421C"/>
    <w:rsid w:val="00E36368"/>
    <w:rsid w:val="00E37E65"/>
    <w:rsid w:val="00E4040F"/>
    <w:rsid w:val="00E4397E"/>
    <w:rsid w:val="00E51FE2"/>
    <w:rsid w:val="00E5222C"/>
    <w:rsid w:val="00E5775D"/>
    <w:rsid w:val="00E61004"/>
    <w:rsid w:val="00E66775"/>
    <w:rsid w:val="00E77917"/>
    <w:rsid w:val="00E81F84"/>
    <w:rsid w:val="00E820CE"/>
    <w:rsid w:val="00E907A6"/>
    <w:rsid w:val="00EA1F81"/>
    <w:rsid w:val="00EB6517"/>
    <w:rsid w:val="00EC0589"/>
    <w:rsid w:val="00EC34E1"/>
    <w:rsid w:val="00EC3F18"/>
    <w:rsid w:val="00EC7B4D"/>
    <w:rsid w:val="00ED030F"/>
    <w:rsid w:val="00ED400B"/>
    <w:rsid w:val="00ED41B8"/>
    <w:rsid w:val="00ED479E"/>
    <w:rsid w:val="00ED522E"/>
    <w:rsid w:val="00ED5C0D"/>
    <w:rsid w:val="00ED5F08"/>
    <w:rsid w:val="00ED61CA"/>
    <w:rsid w:val="00EE4AC4"/>
    <w:rsid w:val="00EE5362"/>
    <w:rsid w:val="00EE7AA0"/>
    <w:rsid w:val="00EF017F"/>
    <w:rsid w:val="00EF0219"/>
    <w:rsid w:val="00EF0E13"/>
    <w:rsid w:val="00EF2C93"/>
    <w:rsid w:val="00EF6386"/>
    <w:rsid w:val="00F0496D"/>
    <w:rsid w:val="00F141FB"/>
    <w:rsid w:val="00F26474"/>
    <w:rsid w:val="00F30AF2"/>
    <w:rsid w:val="00F31015"/>
    <w:rsid w:val="00F31470"/>
    <w:rsid w:val="00F33E4E"/>
    <w:rsid w:val="00F402DF"/>
    <w:rsid w:val="00F5741A"/>
    <w:rsid w:val="00F6225C"/>
    <w:rsid w:val="00F65E7B"/>
    <w:rsid w:val="00F67942"/>
    <w:rsid w:val="00F67D6D"/>
    <w:rsid w:val="00F704C8"/>
    <w:rsid w:val="00F70C91"/>
    <w:rsid w:val="00F71401"/>
    <w:rsid w:val="00F71FCF"/>
    <w:rsid w:val="00F74C56"/>
    <w:rsid w:val="00F7507F"/>
    <w:rsid w:val="00F7734F"/>
    <w:rsid w:val="00F8120A"/>
    <w:rsid w:val="00F825AB"/>
    <w:rsid w:val="00F83F57"/>
    <w:rsid w:val="00F85B13"/>
    <w:rsid w:val="00F92C9B"/>
    <w:rsid w:val="00F93328"/>
    <w:rsid w:val="00F93819"/>
    <w:rsid w:val="00F9529C"/>
    <w:rsid w:val="00F95357"/>
    <w:rsid w:val="00F95495"/>
    <w:rsid w:val="00FA02DC"/>
    <w:rsid w:val="00FA2D32"/>
    <w:rsid w:val="00FA3CF7"/>
    <w:rsid w:val="00FA44E6"/>
    <w:rsid w:val="00FA5DC5"/>
    <w:rsid w:val="00FB022B"/>
    <w:rsid w:val="00FB0C45"/>
    <w:rsid w:val="00FC4691"/>
    <w:rsid w:val="00FC5CAC"/>
    <w:rsid w:val="00FD019C"/>
    <w:rsid w:val="00FD25CB"/>
    <w:rsid w:val="00FD2907"/>
    <w:rsid w:val="00FD2CA4"/>
    <w:rsid w:val="00FE0E37"/>
    <w:rsid w:val="00FE1C7A"/>
    <w:rsid w:val="00FE29C0"/>
    <w:rsid w:val="00FE2B12"/>
    <w:rsid w:val="00FF0E3E"/>
    <w:rsid w:val="00FF1273"/>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EBF0FA"/>
  <w15:chartTrackingRefBased/>
  <w15:docId w15:val="{74357E54-F068-4CFE-BBCA-04D82D5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link w:val="Heading1Char"/>
    <w:uiPriority w:val="1"/>
    <w:qFormat/>
    <w:rsid w:val="002116F3"/>
    <w:pPr>
      <w:widowControl/>
      <w:autoSpaceDE/>
      <w:autoSpaceDN/>
      <w:adjustRightInd/>
      <w:spacing w:before="1"/>
      <w:ind w:left="1072"/>
      <w:outlineLvl w:val="0"/>
    </w:pPr>
    <w:rPr>
      <w:b/>
      <w:bCs/>
      <w:sz w:val="21"/>
      <w:szCs w:val="21"/>
    </w:rPr>
  </w:style>
  <w:style w:type="paragraph" w:styleId="Heading2">
    <w:name w:val="heading 2"/>
    <w:basedOn w:val="Normal"/>
    <w:link w:val="Heading2Char"/>
    <w:uiPriority w:val="1"/>
    <w:qFormat/>
    <w:rsid w:val="002116F3"/>
    <w:pPr>
      <w:widowControl/>
      <w:autoSpaceDE/>
      <w:autoSpaceDN/>
      <w:adjustRightInd/>
      <w:ind w:left="1069"/>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EF0E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c">
    <w:name w:val="manualcc"/>
    <w:basedOn w:val="Normal"/>
    <w:rsid w:val="002C2DBD"/>
    <w:pPr>
      <w:widowControl/>
      <w:autoSpaceDE/>
      <w:autoSpaceDN/>
      <w:adjustRightInd/>
    </w:pPr>
    <w:rPr>
      <w:rFonts w:ascii="Arial" w:hAnsi="Arial"/>
      <w:sz w:val="22"/>
      <w:szCs w:val="20"/>
    </w:rPr>
  </w:style>
  <w:style w:type="character" w:styleId="Hyperlink">
    <w:name w:val="Hyperlink"/>
    <w:rsid w:val="00E5222C"/>
    <w:rPr>
      <w:color w:val="0000FF"/>
      <w:u w:val="single"/>
    </w:rPr>
  </w:style>
  <w:style w:type="paragraph" w:customStyle="1" w:styleId="Default">
    <w:name w:val="Default"/>
    <w:rsid w:val="00AD363C"/>
    <w:pPr>
      <w:autoSpaceDE w:val="0"/>
      <w:autoSpaceDN w:val="0"/>
      <w:adjustRightInd w:val="0"/>
    </w:pPr>
    <w:rPr>
      <w:color w:val="000000"/>
      <w:sz w:val="24"/>
      <w:szCs w:val="24"/>
    </w:rPr>
  </w:style>
  <w:style w:type="paragraph" w:styleId="NormalWeb">
    <w:name w:val="Normal (Web)"/>
    <w:basedOn w:val="Normal"/>
    <w:uiPriority w:val="99"/>
    <w:unhideWhenUsed/>
    <w:rsid w:val="0041592F"/>
    <w:pPr>
      <w:widowControl/>
      <w:autoSpaceDE/>
      <w:autoSpaceDN/>
      <w:adjustRightInd/>
      <w:spacing w:before="100" w:beforeAutospacing="1" w:after="100" w:afterAutospacing="1"/>
    </w:pPr>
  </w:style>
  <w:style w:type="character" w:customStyle="1" w:styleId="apple-converted-space">
    <w:name w:val="apple-converted-space"/>
    <w:rsid w:val="0041592F"/>
  </w:style>
  <w:style w:type="paragraph" w:customStyle="1" w:styleId="MediumGrid1-Accent21">
    <w:name w:val="Medium Grid 1 - Accent 21"/>
    <w:basedOn w:val="Normal"/>
    <w:uiPriority w:val="34"/>
    <w:qFormat/>
    <w:rsid w:val="000A6C93"/>
    <w:pPr>
      <w:ind w:left="720"/>
    </w:pPr>
  </w:style>
  <w:style w:type="character" w:styleId="CommentReference">
    <w:name w:val="annotation reference"/>
    <w:uiPriority w:val="99"/>
    <w:rsid w:val="00B02BA8"/>
    <w:rPr>
      <w:sz w:val="16"/>
      <w:szCs w:val="16"/>
    </w:rPr>
  </w:style>
  <w:style w:type="character" w:customStyle="1" w:styleId="Heading1Char">
    <w:name w:val="Heading 1 Char"/>
    <w:link w:val="Heading1"/>
    <w:uiPriority w:val="1"/>
    <w:rsid w:val="002116F3"/>
    <w:rPr>
      <w:b/>
      <w:bCs/>
      <w:sz w:val="21"/>
      <w:szCs w:val="21"/>
    </w:rPr>
  </w:style>
  <w:style w:type="character" w:customStyle="1" w:styleId="Heading2Char">
    <w:name w:val="Heading 2 Char"/>
    <w:link w:val="Heading2"/>
    <w:uiPriority w:val="1"/>
    <w:rsid w:val="002116F3"/>
    <w:rPr>
      <w:sz w:val="21"/>
      <w:szCs w:val="21"/>
    </w:rPr>
  </w:style>
  <w:style w:type="paragraph" w:styleId="BodyText">
    <w:name w:val="Body Text"/>
    <w:basedOn w:val="Normal"/>
    <w:link w:val="BodyTextChar"/>
    <w:uiPriority w:val="1"/>
    <w:qFormat/>
    <w:rsid w:val="002116F3"/>
    <w:pPr>
      <w:widowControl/>
      <w:autoSpaceDE/>
      <w:autoSpaceDN/>
      <w:adjustRightInd/>
    </w:pPr>
    <w:rPr>
      <w:sz w:val="19"/>
      <w:szCs w:val="19"/>
    </w:rPr>
  </w:style>
  <w:style w:type="character" w:customStyle="1" w:styleId="BodyTextChar">
    <w:name w:val="Body Text Char"/>
    <w:link w:val="BodyText"/>
    <w:uiPriority w:val="1"/>
    <w:rsid w:val="002116F3"/>
    <w:rPr>
      <w:sz w:val="19"/>
      <w:szCs w:val="19"/>
    </w:rPr>
  </w:style>
  <w:style w:type="paragraph" w:customStyle="1" w:styleId="EndNoteBibliographyTitle">
    <w:name w:val="EndNote Bibliography Title"/>
    <w:basedOn w:val="Normal"/>
    <w:link w:val="EndNoteBibliographyTitleChar"/>
    <w:rsid w:val="00A83814"/>
    <w:pPr>
      <w:jc w:val="center"/>
    </w:pPr>
    <w:rPr>
      <w:noProof/>
    </w:rPr>
  </w:style>
  <w:style w:type="character" w:customStyle="1" w:styleId="EndNoteBibliographyTitleChar">
    <w:name w:val="EndNote Bibliography Title Char"/>
    <w:link w:val="EndNoteBibliographyTitle"/>
    <w:rsid w:val="00A83814"/>
    <w:rPr>
      <w:noProof/>
      <w:sz w:val="24"/>
      <w:szCs w:val="24"/>
    </w:rPr>
  </w:style>
  <w:style w:type="paragraph" w:customStyle="1" w:styleId="EndNoteBibliography">
    <w:name w:val="EndNote Bibliography"/>
    <w:basedOn w:val="Normal"/>
    <w:link w:val="EndNoteBibliographyChar"/>
    <w:rsid w:val="00A83814"/>
    <w:rPr>
      <w:noProof/>
    </w:rPr>
  </w:style>
  <w:style w:type="character" w:customStyle="1" w:styleId="EndNoteBibliographyChar">
    <w:name w:val="EndNote Bibliography Char"/>
    <w:link w:val="EndNoteBibliography"/>
    <w:rsid w:val="00A83814"/>
    <w:rPr>
      <w:noProof/>
      <w:sz w:val="24"/>
      <w:szCs w:val="24"/>
    </w:rPr>
  </w:style>
  <w:style w:type="paragraph" w:styleId="CommentText">
    <w:name w:val="annotation text"/>
    <w:basedOn w:val="Normal"/>
    <w:link w:val="CommentTextChar"/>
    <w:rsid w:val="008B2847"/>
  </w:style>
  <w:style w:type="character" w:customStyle="1" w:styleId="CommentTextChar">
    <w:name w:val="Comment Text Char"/>
    <w:link w:val="CommentText"/>
    <w:rsid w:val="008B2847"/>
    <w:rPr>
      <w:sz w:val="24"/>
      <w:szCs w:val="24"/>
    </w:rPr>
  </w:style>
  <w:style w:type="paragraph" w:styleId="CommentSubject">
    <w:name w:val="annotation subject"/>
    <w:basedOn w:val="CommentText"/>
    <w:next w:val="CommentText"/>
    <w:link w:val="CommentSubjectChar"/>
    <w:rsid w:val="008B2847"/>
    <w:rPr>
      <w:b/>
      <w:bCs/>
      <w:sz w:val="20"/>
      <w:szCs w:val="20"/>
    </w:rPr>
  </w:style>
  <w:style w:type="character" w:customStyle="1" w:styleId="CommentSubjectChar">
    <w:name w:val="Comment Subject Char"/>
    <w:link w:val="CommentSubject"/>
    <w:rsid w:val="008B2847"/>
    <w:rPr>
      <w:b/>
      <w:bCs/>
      <w:sz w:val="24"/>
      <w:szCs w:val="24"/>
    </w:rPr>
  </w:style>
  <w:style w:type="paragraph" w:styleId="BalloonText">
    <w:name w:val="Balloon Text"/>
    <w:basedOn w:val="Normal"/>
    <w:link w:val="BalloonTextChar"/>
    <w:rsid w:val="008B2847"/>
    <w:rPr>
      <w:rFonts w:ascii="Lucida Grande" w:hAnsi="Lucida Grande"/>
      <w:sz w:val="18"/>
      <w:szCs w:val="18"/>
    </w:rPr>
  </w:style>
  <w:style w:type="character" w:customStyle="1" w:styleId="BalloonTextChar">
    <w:name w:val="Balloon Text Char"/>
    <w:link w:val="BalloonText"/>
    <w:rsid w:val="008B2847"/>
    <w:rPr>
      <w:rFonts w:ascii="Lucida Grande" w:hAnsi="Lucida Grande"/>
      <w:sz w:val="18"/>
      <w:szCs w:val="18"/>
    </w:rPr>
  </w:style>
  <w:style w:type="character" w:styleId="Strong">
    <w:name w:val="Strong"/>
    <w:basedOn w:val="DefaultParagraphFont"/>
    <w:uiPriority w:val="22"/>
    <w:qFormat/>
    <w:rsid w:val="005910A7"/>
    <w:rPr>
      <w:b/>
      <w:bCs/>
    </w:rPr>
  </w:style>
  <w:style w:type="paragraph" w:styleId="ListParagraph">
    <w:name w:val="List Paragraph"/>
    <w:basedOn w:val="Normal"/>
    <w:uiPriority w:val="72"/>
    <w:qFormat/>
    <w:rsid w:val="00C80EAA"/>
    <w:pPr>
      <w:ind w:left="720"/>
      <w:contextualSpacing/>
    </w:pPr>
  </w:style>
  <w:style w:type="table" w:styleId="PlainTable2">
    <w:name w:val="Plain Table 2"/>
    <w:basedOn w:val="TableNormal"/>
    <w:uiPriority w:val="73"/>
    <w:rsid w:val="00E779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21"/>
    <w:qFormat/>
    <w:rsid w:val="00E779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D72C1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382599"/>
    <w:rPr>
      <w:i/>
      <w:iCs/>
    </w:rPr>
  </w:style>
  <w:style w:type="character" w:styleId="UnresolvedMention">
    <w:name w:val="Unresolved Mention"/>
    <w:basedOn w:val="DefaultParagraphFont"/>
    <w:uiPriority w:val="99"/>
    <w:semiHidden/>
    <w:unhideWhenUsed/>
    <w:rsid w:val="000C3F83"/>
    <w:rPr>
      <w:color w:val="605E5C"/>
      <w:shd w:val="clear" w:color="auto" w:fill="E1DFDD"/>
    </w:rPr>
  </w:style>
  <w:style w:type="paragraph" w:styleId="Revision">
    <w:name w:val="Revision"/>
    <w:hidden/>
    <w:uiPriority w:val="71"/>
    <w:unhideWhenUsed/>
    <w:rsid w:val="00BA7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347">
      <w:bodyDiv w:val="1"/>
      <w:marLeft w:val="0"/>
      <w:marRight w:val="0"/>
      <w:marTop w:val="0"/>
      <w:marBottom w:val="0"/>
      <w:divBdr>
        <w:top w:val="none" w:sz="0" w:space="0" w:color="auto"/>
        <w:left w:val="none" w:sz="0" w:space="0" w:color="auto"/>
        <w:bottom w:val="none" w:sz="0" w:space="0" w:color="auto"/>
        <w:right w:val="none" w:sz="0" w:space="0" w:color="auto"/>
      </w:divBdr>
      <w:divsChild>
        <w:div w:id="1181049616">
          <w:marLeft w:val="0"/>
          <w:marRight w:val="0"/>
          <w:marTop w:val="0"/>
          <w:marBottom w:val="0"/>
          <w:divBdr>
            <w:top w:val="none" w:sz="0" w:space="0" w:color="auto"/>
            <w:left w:val="none" w:sz="0" w:space="0" w:color="auto"/>
            <w:bottom w:val="none" w:sz="0" w:space="0" w:color="auto"/>
            <w:right w:val="none" w:sz="0" w:space="0" w:color="auto"/>
          </w:divBdr>
        </w:div>
        <w:div w:id="267979006">
          <w:marLeft w:val="0"/>
          <w:marRight w:val="0"/>
          <w:marTop w:val="0"/>
          <w:marBottom w:val="0"/>
          <w:divBdr>
            <w:top w:val="none" w:sz="0" w:space="0" w:color="auto"/>
            <w:left w:val="none" w:sz="0" w:space="0" w:color="auto"/>
            <w:bottom w:val="none" w:sz="0" w:space="0" w:color="auto"/>
            <w:right w:val="none" w:sz="0" w:space="0" w:color="auto"/>
          </w:divBdr>
        </w:div>
        <w:div w:id="1897887633">
          <w:marLeft w:val="0"/>
          <w:marRight w:val="0"/>
          <w:marTop w:val="0"/>
          <w:marBottom w:val="0"/>
          <w:divBdr>
            <w:top w:val="none" w:sz="0" w:space="0" w:color="auto"/>
            <w:left w:val="none" w:sz="0" w:space="0" w:color="auto"/>
            <w:bottom w:val="none" w:sz="0" w:space="0" w:color="auto"/>
            <w:right w:val="none" w:sz="0" w:space="0" w:color="auto"/>
          </w:divBdr>
        </w:div>
        <w:div w:id="619579650">
          <w:marLeft w:val="0"/>
          <w:marRight w:val="0"/>
          <w:marTop w:val="0"/>
          <w:marBottom w:val="0"/>
          <w:divBdr>
            <w:top w:val="none" w:sz="0" w:space="0" w:color="auto"/>
            <w:left w:val="none" w:sz="0" w:space="0" w:color="auto"/>
            <w:bottom w:val="none" w:sz="0" w:space="0" w:color="auto"/>
            <w:right w:val="none" w:sz="0" w:space="0" w:color="auto"/>
          </w:divBdr>
        </w:div>
      </w:divsChild>
    </w:div>
    <w:div w:id="437800450">
      <w:bodyDiv w:val="1"/>
      <w:marLeft w:val="0"/>
      <w:marRight w:val="0"/>
      <w:marTop w:val="0"/>
      <w:marBottom w:val="0"/>
      <w:divBdr>
        <w:top w:val="none" w:sz="0" w:space="0" w:color="auto"/>
        <w:left w:val="none" w:sz="0" w:space="0" w:color="auto"/>
        <w:bottom w:val="none" w:sz="0" w:space="0" w:color="auto"/>
        <w:right w:val="none" w:sz="0" w:space="0" w:color="auto"/>
      </w:divBdr>
    </w:div>
    <w:div w:id="463236525">
      <w:bodyDiv w:val="1"/>
      <w:marLeft w:val="0"/>
      <w:marRight w:val="0"/>
      <w:marTop w:val="0"/>
      <w:marBottom w:val="0"/>
      <w:divBdr>
        <w:top w:val="none" w:sz="0" w:space="0" w:color="auto"/>
        <w:left w:val="none" w:sz="0" w:space="0" w:color="auto"/>
        <w:bottom w:val="none" w:sz="0" w:space="0" w:color="auto"/>
        <w:right w:val="none" w:sz="0" w:space="0" w:color="auto"/>
      </w:divBdr>
    </w:div>
    <w:div w:id="634142591">
      <w:bodyDiv w:val="1"/>
      <w:marLeft w:val="0"/>
      <w:marRight w:val="0"/>
      <w:marTop w:val="0"/>
      <w:marBottom w:val="0"/>
      <w:divBdr>
        <w:top w:val="none" w:sz="0" w:space="0" w:color="auto"/>
        <w:left w:val="none" w:sz="0" w:space="0" w:color="auto"/>
        <w:bottom w:val="none" w:sz="0" w:space="0" w:color="auto"/>
        <w:right w:val="none" w:sz="0" w:space="0" w:color="auto"/>
      </w:divBdr>
    </w:div>
    <w:div w:id="690570382">
      <w:bodyDiv w:val="1"/>
      <w:marLeft w:val="0"/>
      <w:marRight w:val="0"/>
      <w:marTop w:val="0"/>
      <w:marBottom w:val="0"/>
      <w:divBdr>
        <w:top w:val="none" w:sz="0" w:space="0" w:color="auto"/>
        <w:left w:val="none" w:sz="0" w:space="0" w:color="auto"/>
        <w:bottom w:val="none" w:sz="0" w:space="0" w:color="auto"/>
        <w:right w:val="none" w:sz="0" w:space="0" w:color="auto"/>
      </w:divBdr>
    </w:div>
    <w:div w:id="827209870">
      <w:bodyDiv w:val="1"/>
      <w:marLeft w:val="0"/>
      <w:marRight w:val="0"/>
      <w:marTop w:val="0"/>
      <w:marBottom w:val="0"/>
      <w:divBdr>
        <w:top w:val="none" w:sz="0" w:space="0" w:color="auto"/>
        <w:left w:val="none" w:sz="0" w:space="0" w:color="auto"/>
        <w:bottom w:val="none" w:sz="0" w:space="0" w:color="auto"/>
        <w:right w:val="none" w:sz="0" w:space="0" w:color="auto"/>
      </w:divBdr>
    </w:div>
    <w:div w:id="1093428987">
      <w:bodyDiv w:val="1"/>
      <w:marLeft w:val="0"/>
      <w:marRight w:val="0"/>
      <w:marTop w:val="0"/>
      <w:marBottom w:val="0"/>
      <w:divBdr>
        <w:top w:val="none" w:sz="0" w:space="0" w:color="auto"/>
        <w:left w:val="none" w:sz="0" w:space="0" w:color="auto"/>
        <w:bottom w:val="none" w:sz="0" w:space="0" w:color="auto"/>
        <w:right w:val="none" w:sz="0" w:space="0" w:color="auto"/>
      </w:divBdr>
      <w:divsChild>
        <w:div w:id="2108648354">
          <w:marLeft w:val="0"/>
          <w:marRight w:val="0"/>
          <w:marTop w:val="0"/>
          <w:marBottom w:val="0"/>
          <w:divBdr>
            <w:top w:val="none" w:sz="0" w:space="0" w:color="auto"/>
            <w:left w:val="none" w:sz="0" w:space="0" w:color="auto"/>
            <w:bottom w:val="none" w:sz="0" w:space="0" w:color="auto"/>
            <w:right w:val="none" w:sz="0" w:space="0" w:color="auto"/>
          </w:divBdr>
        </w:div>
        <w:div w:id="1251352333">
          <w:marLeft w:val="0"/>
          <w:marRight w:val="0"/>
          <w:marTop w:val="0"/>
          <w:marBottom w:val="0"/>
          <w:divBdr>
            <w:top w:val="none" w:sz="0" w:space="0" w:color="auto"/>
            <w:left w:val="none" w:sz="0" w:space="0" w:color="auto"/>
            <w:bottom w:val="none" w:sz="0" w:space="0" w:color="auto"/>
            <w:right w:val="none" w:sz="0" w:space="0" w:color="auto"/>
          </w:divBdr>
        </w:div>
      </w:divsChild>
    </w:div>
    <w:div w:id="1153067068">
      <w:bodyDiv w:val="1"/>
      <w:marLeft w:val="0"/>
      <w:marRight w:val="0"/>
      <w:marTop w:val="0"/>
      <w:marBottom w:val="0"/>
      <w:divBdr>
        <w:top w:val="none" w:sz="0" w:space="0" w:color="auto"/>
        <w:left w:val="none" w:sz="0" w:space="0" w:color="auto"/>
        <w:bottom w:val="none" w:sz="0" w:space="0" w:color="auto"/>
        <w:right w:val="none" w:sz="0" w:space="0" w:color="auto"/>
      </w:divBdr>
    </w:div>
    <w:div w:id="1193038018">
      <w:bodyDiv w:val="1"/>
      <w:marLeft w:val="0"/>
      <w:marRight w:val="0"/>
      <w:marTop w:val="0"/>
      <w:marBottom w:val="0"/>
      <w:divBdr>
        <w:top w:val="none" w:sz="0" w:space="0" w:color="auto"/>
        <w:left w:val="none" w:sz="0" w:space="0" w:color="auto"/>
        <w:bottom w:val="none" w:sz="0" w:space="0" w:color="auto"/>
        <w:right w:val="none" w:sz="0" w:space="0" w:color="auto"/>
      </w:divBdr>
    </w:div>
    <w:div w:id="1235817970">
      <w:bodyDiv w:val="1"/>
      <w:marLeft w:val="0"/>
      <w:marRight w:val="0"/>
      <w:marTop w:val="0"/>
      <w:marBottom w:val="0"/>
      <w:divBdr>
        <w:top w:val="none" w:sz="0" w:space="0" w:color="auto"/>
        <w:left w:val="none" w:sz="0" w:space="0" w:color="auto"/>
        <w:bottom w:val="none" w:sz="0" w:space="0" w:color="auto"/>
        <w:right w:val="none" w:sz="0" w:space="0" w:color="auto"/>
      </w:divBdr>
    </w:div>
    <w:div w:id="1451700962">
      <w:bodyDiv w:val="1"/>
      <w:marLeft w:val="0"/>
      <w:marRight w:val="0"/>
      <w:marTop w:val="0"/>
      <w:marBottom w:val="0"/>
      <w:divBdr>
        <w:top w:val="none" w:sz="0" w:space="0" w:color="auto"/>
        <w:left w:val="none" w:sz="0" w:space="0" w:color="auto"/>
        <w:bottom w:val="none" w:sz="0" w:space="0" w:color="auto"/>
        <w:right w:val="none" w:sz="0" w:space="0" w:color="auto"/>
      </w:divBdr>
      <w:divsChild>
        <w:div w:id="1232808061">
          <w:marLeft w:val="0"/>
          <w:marRight w:val="0"/>
          <w:marTop w:val="0"/>
          <w:marBottom w:val="0"/>
          <w:divBdr>
            <w:top w:val="none" w:sz="0" w:space="0" w:color="auto"/>
            <w:left w:val="none" w:sz="0" w:space="0" w:color="auto"/>
            <w:bottom w:val="none" w:sz="0" w:space="0" w:color="auto"/>
            <w:right w:val="none" w:sz="0" w:space="0" w:color="auto"/>
          </w:divBdr>
        </w:div>
        <w:div w:id="1418866165">
          <w:marLeft w:val="0"/>
          <w:marRight w:val="0"/>
          <w:marTop w:val="0"/>
          <w:marBottom w:val="0"/>
          <w:divBdr>
            <w:top w:val="none" w:sz="0" w:space="0" w:color="auto"/>
            <w:left w:val="none" w:sz="0" w:space="0" w:color="auto"/>
            <w:bottom w:val="none" w:sz="0" w:space="0" w:color="auto"/>
            <w:right w:val="none" w:sz="0" w:space="0" w:color="auto"/>
          </w:divBdr>
        </w:div>
        <w:div w:id="413019578">
          <w:marLeft w:val="0"/>
          <w:marRight w:val="0"/>
          <w:marTop w:val="0"/>
          <w:marBottom w:val="0"/>
          <w:divBdr>
            <w:top w:val="none" w:sz="0" w:space="0" w:color="auto"/>
            <w:left w:val="none" w:sz="0" w:space="0" w:color="auto"/>
            <w:bottom w:val="none" w:sz="0" w:space="0" w:color="auto"/>
            <w:right w:val="none" w:sz="0" w:space="0" w:color="auto"/>
          </w:divBdr>
        </w:div>
        <w:div w:id="1257250580">
          <w:marLeft w:val="0"/>
          <w:marRight w:val="0"/>
          <w:marTop w:val="0"/>
          <w:marBottom w:val="0"/>
          <w:divBdr>
            <w:top w:val="none" w:sz="0" w:space="0" w:color="auto"/>
            <w:left w:val="none" w:sz="0" w:space="0" w:color="auto"/>
            <w:bottom w:val="none" w:sz="0" w:space="0" w:color="auto"/>
            <w:right w:val="none" w:sz="0" w:space="0" w:color="auto"/>
          </w:divBdr>
        </w:div>
      </w:divsChild>
    </w:div>
    <w:div w:id="1633051028">
      <w:bodyDiv w:val="1"/>
      <w:marLeft w:val="0"/>
      <w:marRight w:val="0"/>
      <w:marTop w:val="0"/>
      <w:marBottom w:val="0"/>
      <w:divBdr>
        <w:top w:val="none" w:sz="0" w:space="0" w:color="auto"/>
        <w:left w:val="none" w:sz="0" w:space="0" w:color="auto"/>
        <w:bottom w:val="none" w:sz="0" w:space="0" w:color="auto"/>
        <w:right w:val="none" w:sz="0" w:space="0" w:color="auto"/>
      </w:divBdr>
    </w:div>
    <w:div w:id="1639798583">
      <w:bodyDiv w:val="1"/>
      <w:marLeft w:val="0"/>
      <w:marRight w:val="0"/>
      <w:marTop w:val="0"/>
      <w:marBottom w:val="0"/>
      <w:divBdr>
        <w:top w:val="none" w:sz="0" w:space="0" w:color="auto"/>
        <w:left w:val="none" w:sz="0" w:space="0" w:color="auto"/>
        <w:bottom w:val="none" w:sz="0" w:space="0" w:color="auto"/>
        <w:right w:val="none" w:sz="0" w:space="0" w:color="auto"/>
      </w:divBdr>
    </w:div>
    <w:div w:id="1881626254">
      <w:bodyDiv w:val="1"/>
      <w:marLeft w:val="0"/>
      <w:marRight w:val="0"/>
      <w:marTop w:val="0"/>
      <w:marBottom w:val="0"/>
      <w:divBdr>
        <w:top w:val="none" w:sz="0" w:space="0" w:color="auto"/>
        <w:left w:val="none" w:sz="0" w:space="0" w:color="auto"/>
        <w:bottom w:val="none" w:sz="0" w:space="0" w:color="auto"/>
        <w:right w:val="none" w:sz="0" w:space="0" w:color="auto"/>
      </w:divBdr>
    </w:div>
    <w:div w:id="1926723018">
      <w:bodyDiv w:val="1"/>
      <w:marLeft w:val="0"/>
      <w:marRight w:val="0"/>
      <w:marTop w:val="0"/>
      <w:marBottom w:val="0"/>
      <w:divBdr>
        <w:top w:val="none" w:sz="0" w:space="0" w:color="auto"/>
        <w:left w:val="none" w:sz="0" w:space="0" w:color="auto"/>
        <w:bottom w:val="none" w:sz="0" w:space="0" w:color="auto"/>
        <w:right w:val="none" w:sz="0" w:space="0" w:color="auto"/>
      </w:divBdr>
    </w:div>
    <w:div w:id="1982808854">
      <w:bodyDiv w:val="1"/>
      <w:marLeft w:val="0"/>
      <w:marRight w:val="0"/>
      <w:marTop w:val="0"/>
      <w:marBottom w:val="0"/>
      <w:divBdr>
        <w:top w:val="none" w:sz="0" w:space="0" w:color="auto"/>
        <w:left w:val="none" w:sz="0" w:space="0" w:color="auto"/>
        <w:bottom w:val="none" w:sz="0" w:space="0" w:color="auto"/>
        <w:right w:val="none" w:sz="0" w:space="0" w:color="auto"/>
      </w:divBdr>
    </w:div>
    <w:div w:id="21119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oregonstate.edu/osraa/forms-and-rates/other-payroll-expense-ope-information-and-estimated-rates" TargetMode="External"/><Relationship Id="rId3" Type="http://schemas.openxmlformats.org/officeDocument/2006/relationships/styles" Target="styles.xml"/><Relationship Id="rId7" Type="http://schemas.openxmlformats.org/officeDocument/2006/relationships/hyperlink" Target="http://hopresearch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lene.Wilkinson@oregon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BE839C-1012-014A-B011-0A390525582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D9AB-F9EF-D847-92E8-68E25F26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Project No:</vt:lpstr>
    </vt:vector>
  </TitlesOfParts>
  <Company>Weed Science WSU</Company>
  <LinksUpToDate>false</LinksUpToDate>
  <CharactersWithSpaces>20973</CharactersWithSpaces>
  <SharedDoc>false</SharedDoc>
  <HLinks>
    <vt:vector size="24" baseType="variant">
      <vt:variant>
        <vt:i4>4063329</vt:i4>
      </vt:variant>
      <vt:variant>
        <vt:i4>47</vt:i4>
      </vt:variant>
      <vt:variant>
        <vt:i4>0</vt:i4>
      </vt:variant>
      <vt:variant>
        <vt:i4>5</vt:i4>
      </vt:variant>
      <vt:variant>
        <vt:lpwstr>http://westernipm.org/index.cfm/ipm-in-the-west/agriculture/soil-solarization-in-the-pacific-northwest/</vt:lpwstr>
      </vt:variant>
      <vt:variant>
        <vt:lpwstr/>
      </vt:variant>
      <vt:variant>
        <vt:i4>2424944</vt:i4>
      </vt:variant>
      <vt:variant>
        <vt:i4>44</vt:i4>
      </vt:variant>
      <vt:variant>
        <vt:i4>0</vt:i4>
      </vt:variant>
      <vt:variant>
        <vt:i4>5</vt:i4>
      </vt:variant>
      <vt:variant>
        <vt:lpwstr>https://www.nass.usda.gov/</vt:lpwstr>
      </vt:variant>
      <vt:variant>
        <vt:lpwstr/>
      </vt:variant>
      <vt:variant>
        <vt:i4>3801137</vt:i4>
      </vt:variant>
      <vt:variant>
        <vt:i4>41</vt:i4>
      </vt:variant>
      <vt:variant>
        <vt:i4>0</vt:i4>
      </vt:variant>
      <vt:variant>
        <vt:i4>5</vt:i4>
      </vt:variant>
      <vt:variant>
        <vt:lpwstr>http://uspest.org/soil/solarize</vt:lpwstr>
      </vt:variant>
      <vt:variant>
        <vt:lpwstr/>
      </vt:variant>
      <vt:variant>
        <vt:i4>7798789</vt:i4>
      </vt:variant>
      <vt:variant>
        <vt:i4>0</vt:i4>
      </vt:variant>
      <vt:variant>
        <vt:i4>0</vt:i4>
      </vt:variant>
      <vt:variant>
        <vt:i4>5</vt:i4>
      </vt:variant>
      <vt:variant>
        <vt:lpwstr>mailto:marcelo.moretti@oregonstate.edu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subject/>
  <dc:creator>Tim Miller</dc:creator>
  <cp:keywords/>
  <cp:lastModifiedBy>thoet thoet</cp:lastModifiedBy>
  <cp:revision>2</cp:revision>
  <cp:lastPrinted>2019-11-06T01:16:00Z</cp:lastPrinted>
  <dcterms:created xsi:type="dcterms:W3CDTF">2021-06-20T23:09:00Z</dcterms:created>
  <dcterms:modified xsi:type="dcterms:W3CDTF">2021-06-20T23:09:00Z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documentId_3377</vt:lpwstr>
  </property>
  <property fmtid="{D5CDD505-2E9C-101B-9397-08002B2CF9AE}" pid="3" name="grammarly_documentContext">
    <vt:lpwstr>{"goals":[],"domain":"general","emotions":[],"dialect":"american"}</vt:lpwstr>
  </property>
</Properties>
</file>