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32F9" w14:textId="35890C8D" w:rsidR="00255558" w:rsidRPr="002D3F82" w:rsidRDefault="00EB40FA">
      <w:pPr>
        <w:rPr>
          <w:rFonts w:ascii="Times New Roman" w:hAnsi="Times New Roman" w:cs="Times New Roman"/>
          <w:b/>
          <w:bCs/>
          <w:sz w:val="24"/>
          <w:szCs w:val="24"/>
        </w:rPr>
      </w:pPr>
      <w:r w:rsidRPr="002D3F82">
        <w:rPr>
          <w:rFonts w:ascii="Times New Roman" w:hAnsi="Times New Roman" w:cs="Times New Roman"/>
          <w:b/>
          <w:bCs/>
          <w:sz w:val="24"/>
          <w:szCs w:val="24"/>
        </w:rPr>
        <w:t>Project Title:</w:t>
      </w:r>
      <w:r w:rsidRPr="002D3F82">
        <w:rPr>
          <w:rFonts w:ascii="Times New Roman" w:hAnsi="Times New Roman" w:cs="Times New Roman"/>
          <w:sz w:val="24"/>
          <w:szCs w:val="24"/>
        </w:rPr>
        <w:t xml:space="preserve"> </w:t>
      </w:r>
      <w:r w:rsidRPr="002D3F82">
        <w:rPr>
          <w:rFonts w:ascii="Times New Roman" w:hAnsi="Times New Roman" w:cs="Times New Roman"/>
          <w:b/>
          <w:bCs/>
          <w:sz w:val="24"/>
          <w:szCs w:val="24"/>
        </w:rPr>
        <w:t>Efficacy and Crop Safety of MBI015 (</w:t>
      </w:r>
      <w:proofErr w:type="spellStart"/>
      <w:r w:rsidRPr="002D3F82">
        <w:rPr>
          <w:rFonts w:ascii="Times New Roman" w:hAnsi="Times New Roman" w:cs="Times New Roman"/>
          <w:b/>
          <w:bCs/>
          <w:i/>
          <w:iCs/>
          <w:sz w:val="24"/>
          <w:szCs w:val="24"/>
        </w:rPr>
        <w:t>Burkholderia</w:t>
      </w:r>
      <w:proofErr w:type="spellEnd"/>
      <w:r w:rsidRPr="002D3F82">
        <w:rPr>
          <w:rFonts w:ascii="Times New Roman" w:hAnsi="Times New Roman" w:cs="Times New Roman"/>
          <w:b/>
          <w:bCs/>
          <w:i/>
          <w:iCs/>
          <w:sz w:val="24"/>
          <w:szCs w:val="24"/>
        </w:rPr>
        <w:t xml:space="preserve"> </w:t>
      </w:r>
      <w:proofErr w:type="spellStart"/>
      <w:r w:rsidRPr="002D3F82">
        <w:rPr>
          <w:rFonts w:ascii="Times New Roman" w:hAnsi="Times New Roman" w:cs="Times New Roman"/>
          <w:b/>
          <w:bCs/>
          <w:i/>
          <w:iCs/>
          <w:sz w:val="24"/>
          <w:szCs w:val="24"/>
        </w:rPr>
        <w:t>rinojensis</w:t>
      </w:r>
      <w:proofErr w:type="spellEnd"/>
      <w:r w:rsidRPr="002D3F82">
        <w:rPr>
          <w:rFonts w:ascii="Times New Roman" w:hAnsi="Times New Roman" w:cs="Times New Roman"/>
          <w:b/>
          <w:bCs/>
          <w:sz w:val="24"/>
          <w:szCs w:val="24"/>
        </w:rPr>
        <w:t>) on hops.</w:t>
      </w:r>
    </w:p>
    <w:p w14:paraId="7EF97ED1" w14:textId="77777777" w:rsidR="00EB40FA" w:rsidRPr="002D3F82" w:rsidRDefault="00EB40FA" w:rsidP="00EB40FA">
      <w:pPr>
        <w:rPr>
          <w:rFonts w:ascii="Times New Roman" w:eastAsia="Calibri" w:hAnsi="Times New Roman" w:cs="Times New Roman"/>
          <w:b/>
          <w:sz w:val="24"/>
          <w:szCs w:val="24"/>
        </w:rPr>
      </w:pPr>
    </w:p>
    <w:p w14:paraId="60D81EF2" w14:textId="36BEE25E" w:rsidR="00EB40FA" w:rsidRPr="002D3F82" w:rsidRDefault="00EB40FA" w:rsidP="00EB40FA">
      <w:pPr>
        <w:rPr>
          <w:rFonts w:ascii="Times New Roman" w:eastAsia="Calibri" w:hAnsi="Times New Roman" w:cs="Times New Roman"/>
          <w:b/>
          <w:sz w:val="24"/>
          <w:szCs w:val="24"/>
        </w:rPr>
      </w:pPr>
      <w:r w:rsidRPr="002D3F82">
        <w:rPr>
          <w:rFonts w:ascii="Times New Roman" w:eastAsia="Calibri" w:hAnsi="Times New Roman" w:cs="Times New Roman"/>
          <w:b/>
          <w:sz w:val="24"/>
          <w:szCs w:val="24"/>
        </w:rPr>
        <w:t>Personnel</w:t>
      </w:r>
    </w:p>
    <w:p w14:paraId="42555B91" w14:textId="77777777" w:rsidR="00EB40FA" w:rsidRPr="002D3F82" w:rsidRDefault="00EB40FA" w:rsidP="00EB40FA">
      <w:pPr>
        <w:rPr>
          <w:rFonts w:ascii="Times New Roman" w:eastAsia="Calibri" w:hAnsi="Times New Roman" w:cs="Times New Roman"/>
          <w:b/>
          <w:sz w:val="24"/>
          <w:szCs w:val="24"/>
        </w:rPr>
      </w:pPr>
    </w:p>
    <w:p w14:paraId="27B879AA" w14:textId="5E28125D" w:rsidR="00EB40FA" w:rsidRPr="00EB40FA" w:rsidRDefault="00EB40FA" w:rsidP="00EB40FA">
      <w:pPr>
        <w:rPr>
          <w:rFonts w:ascii="Times New Roman" w:eastAsia="Calibri" w:hAnsi="Times New Roman" w:cs="Times New Roman"/>
          <w:b/>
          <w:sz w:val="24"/>
          <w:szCs w:val="24"/>
        </w:rPr>
      </w:pPr>
      <w:r w:rsidRPr="00EB40FA">
        <w:rPr>
          <w:rFonts w:ascii="Times New Roman" w:eastAsia="Calibri" w:hAnsi="Times New Roman" w:cs="Times New Roman"/>
          <w:b/>
          <w:sz w:val="24"/>
          <w:szCs w:val="24"/>
        </w:rPr>
        <w:t>Project Leader:</w:t>
      </w:r>
    </w:p>
    <w:p w14:paraId="6B203FD4" w14:textId="77777777" w:rsidR="00EB40FA" w:rsidRPr="00EB40FA"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Douglas B. Walsh, Professor of Entomology</w:t>
      </w:r>
      <w:r w:rsidRPr="00EB40FA">
        <w:rPr>
          <w:rFonts w:ascii="Times New Roman" w:eastAsia="Calibri" w:hAnsi="Times New Roman" w:cs="Times New Roman"/>
          <w:sz w:val="24"/>
          <w:szCs w:val="24"/>
        </w:rPr>
        <w:tab/>
      </w:r>
    </w:p>
    <w:p w14:paraId="4F3D9662" w14:textId="77777777" w:rsidR="00EB40FA" w:rsidRPr="00EB40FA"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Washington State University</w:t>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t xml:space="preserve"> </w:t>
      </w:r>
    </w:p>
    <w:p w14:paraId="08BF1CE0" w14:textId="77777777" w:rsidR="00EB40FA" w:rsidRPr="00EB40FA"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Irrigated Agriculture Research and Extension Center</w:t>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t xml:space="preserve"> </w:t>
      </w:r>
    </w:p>
    <w:p w14:paraId="26C366BD" w14:textId="77777777" w:rsidR="00EB40FA" w:rsidRPr="00EB40FA"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24106 N. Bunn Rd., Prosser, WA 99350</w:t>
      </w:r>
      <w:r w:rsidRPr="00EB40FA">
        <w:rPr>
          <w:rFonts w:ascii="Times New Roman" w:eastAsia="Calibri" w:hAnsi="Times New Roman" w:cs="Times New Roman"/>
          <w:sz w:val="24"/>
          <w:szCs w:val="24"/>
        </w:rPr>
        <w:tab/>
      </w:r>
      <w:r w:rsidRPr="00EB40FA">
        <w:rPr>
          <w:rFonts w:ascii="Times New Roman" w:eastAsia="Calibri" w:hAnsi="Times New Roman" w:cs="Times New Roman"/>
          <w:sz w:val="24"/>
          <w:szCs w:val="24"/>
        </w:rPr>
        <w:tab/>
        <w:t xml:space="preserve"> </w:t>
      </w:r>
    </w:p>
    <w:p w14:paraId="31491E54" w14:textId="77777777" w:rsidR="00EB40FA" w:rsidRPr="00EB40FA"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509-786-9287, dwalsh@wsu.edu, http://ipm.wsu.edu</w:t>
      </w:r>
    </w:p>
    <w:p w14:paraId="5D1D42CC" w14:textId="77777777" w:rsidR="00EB40FA" w:rsidRPr="00EB40FA" w:rsidRDefault="00EB40FA" w:rsidP="00EB40FA">
      <w:pPr>
        <w:rPr>
          <w:rFonts w:ascii="Times New Roman" w:eastAsia="Calibri" w:hAnsi="Times New Roman" w:cs="Times New Roman"/>
          <w:sz w:val="24"/>
          <w:szCs w:val="24"/>
        </w:rPr>
      </w:pPr>
    </w:p>
    <w:p w14:paraId="626945A2" w14:textId="7AC4DD65" w:rsidR="00EB40FA" w:rsidRPr="002D3F82" w:rsidRDefault="00EA2345" w:rsidP="00EB40FA">
      <w:pPr>
        <w:rPr>
          <w:rFonts w:ascii="Times New Roman" w:eastAsia="Calibri" w:hAnsi="Times New Roman" w:cs="Times New Roman"/>
          <w:sz w:val="24"/>
          <w:szCs w:val="24"/>
        </w:rPr>
      </w:pPr>
      <w:r>
        <w:rPr>
          <w:rFonts w:ascii="Times New Roman" w:eastAsia="Calibri" w:hAnsi="Times New Roman" w:cs="Times New Roman"/>
          <w:sz w:val="24"/>
          <w:szCs w:val="24"/>
        </w:rPr>
        <w:t>Cooperators</w:t>
      </w:r>
      <w:r w:rsidR="00EB40FA" w:rsidRPr="002D3F82">
        <w:rPr>
          <w:rFonts w:ascii="Times New Roman" w:eastAsia="Calibri" w:hAnsi="Times New Roman" w:cs="Times New Roman"/>
          <w:sz w:val="24"/>
          <w:szCs w:val="24"/>
        </w:rPr>
        <w:t>:</w:t>
      </w:r>
    </w:p>
    <w:p w14:paraId="413BFB35" w14:textId="77777777" w:rsidR="00EB40FA" w:rsidRPr="002D3F82" w:rsidRDefault="00EB40FA" w:rsidP="00EB40FA">
      <w:pPr>
        <w:rPr>
          <w:rFonts w:ascii="Times New Roman" w:eastAsia="Calibri" w:hAnsi="Times New Roman" w:cs="Times New Roman"/>
          <w:sz w:val="24"/>
          <w:szCs w:val="24"/>
        </w:rPr>
      </w:pPr>
      <w:r w:rsidRPr="00EB40FA">
        <w:rPr>
          <w:rFonts w:ascii="Times New Roman" w:eastAsia="Calibri" w:hAnsi="Times New Roman" w:cs="Times New Roman"/>
          <w:sz w:val="24"/>
          <w:szCs w:val="24"/>
        </w:rPr>
        <w:t>Dan Groenendale, Field Research Director</w:t>
      </w:r>
      <w:r w:rsidRPr="002D3F82">
        <w:rPr>
          <w:rFonts w:ascii="Times New Roman" w:eastAsia="Calibri" w:hAnsi="Times New Roman" w:cs="Times New Roman"/>
          <w:sz w:val="24"/>
          <w:szCs w:val="24"/>
        </w:rPr>
        <w:t>, WSU IAREC</w:t>
      </w:r>
    </w:p>
    <w:p w14:paraId="547C6573" w14:textId="6D6E6E10" w:rsidR="00EB40FA" w:rsidRDefault="00EB40FA" w:rsidP="00EB40FA">
      <w:pPr>
        <w:rPr>
          <w:rFonts w:ascii="Times New Roman" w:eastAsia="Calibri" w:hAnsi="Times New Roman" w:cs="Times New Roman"/>
          <w:sz w:val="24"/>
          <w:szCs w:val="24"/>
        </w:rPr>
      </w:pPr>
      <w:r w:rsidRPr="002D3F82">
        <w:rPr>
          <w:rFonts w:ascii="Times New Roman" w:eastAsia="Calibri" w:hAnsi="Times New Roman" w:cs="Times New Roman"/>
          <w:sz w:val="24"/>
          <w:szCs w:val="24"/>
        </w:rPr>
        <w:t>Marcelo Moretti, Weed Scientist, Oregon State University</w:t>
      </w:r>
    </w:p>
    <w:p w14:paraId="40815E1D" w14:textId="3E045394" w:rsidR="00EA2345" w:rsidRDefault="00EA2345" w:rsidP="00EB40FA">
      <w:pPr>
        <w:rPr>
          <w:rFonts w:ascii="Times New Roman" w:eastAsia="Calibri" w:hAnsi="Times New Roman" w:cs="Times New Roman"/>
          <w:sz w:val="24"/>
          <w:szCs w:val="24"/>
        </w:rPr>
      </w:pPr>
    </w:p>
    <w:p w14:paraId="470734D3" w14:textId="0498C17F" w:rsidR="00EA2345" w:rsidRPr="00EA2345" w:rsidRDefault="00EA2345" w:rsidP="00EB40FA">
      <w:pPr>
        <w:rPr>
          <w:rFonts w:ascii="Times New Roman" w:eastAsia="Calibri" w:hAnsi="Times New Roman" w:cs="Times New Roman"/>
          <w:b/>
          <w:bCs/>
          <w:sz w:val="24"/>
          <w:szCs w:val="24"/>
        </w:rPr>
      </w:pPr>
      <w:r w:rsidRPr="00EA2345">
        <w:rPr>
          <w:rFonts w:ascii="Times New Roman" w:eastAsia="Calibri" w:hAnsi="Times New Roman" w:cs="Times New Roman"/>
          <w:b/>
          <w:bCs/>
          <w:sz w:val="24"/>
          <w:szCs w:val="24"/>
        </w:rPr>
        <w:t>Funding Requested:</w:t>
      </w:r>
      <w:r>
        <w:rPr>
          <w:rFonts w:ascii="Times New Roman" w:eastAsia="Calibri" w:hAnsi="Times New Roman" w:cs="Times New Roman"/>
          <w:b/>
          <w:bCs/>
          <w:sz w:val="24"/>
          <w:szCs w:val="24"/>
        </w:rPr>
        <w:t xml:space="preserve"> $15,000</w:t>
      </w:r>
    </w:p>
    <w:p w14:paraId="73892BC6" w14:textId="77777777" w:rsidR="00EB40FA" w:rsidRPr="002D3F82" w:rsidRDefault="00EB40FA" w:rsidP="00EB40FA">
      <w:pPr>
        <w:rPr>
          <w:rFonts w:ascii="Times New Roman" w:eastAsia="Calibri" w:hAnsi="Times New Roman" w:cs="Times New Roman"/>
          <w:sz w:val="24"/>
          <w:szCs w:val="24"/>
        </w:rPr>
      </w:pPr>
    </w:p>
    <w:p w14:paraId="2584F006" w14:textId="77777777" w:rsidR="00EA2345" w:rsidRDefault="00EA2345" w:rsidP="00EB40FA">
      <w:pPr>
        <w:rPr>
          <w:rFonts w:ascii="Times New Roman" w:eastAsia="Calibri" w:hAnsi="Times New Roman" w:cs="Times New Roman"/>
          <w:b/>
          <w:bCs/>
          <w:sz w:val="24"/>
          <w:szCs w:val="24"/>
        </w:rPr>
      </w:pPr>
      <w:r>
        <w:rPr>
          <w:rFonts w:ascii="Times New Roman" w:eastAsia="Calibri" w:hAnsi="Times New Roman" w:cs="Times New Roman"/>
          <w:b/>
          <w:bCs/>
          <w:sz w:val="24"/>
          <w:szCs w:val="24"/>
        </w:rPr>
        <w:t>Other Funding and Support:</w:t>
      </w:r>
    </w:p>
    <w:p w14:paraId="22C6B0E1" w14:textId="1A7C6051" w:rsidR="00EA2345" w:rsidRPr="00EA2345" w:rsidRDefault="00EA2345" w:rsidP="00EB40FA">
      <w:pPr>
        <w:rPr>
          <w:rFonts w:ascii="Times New Roman" w:eastAsia="Calibri" w:hAnsi="Times New Roman" w:cs="Times New Roman"/>
          <w:sz w:val="24"/>
          <w:szCs w:val="24"/>
        </w:rPr>
      </w:pPr>
      <w:r w:rsidRPr="00EA2345">
        <w:rPr>
          <w:rFonts w:ascii="Times New Roman" w:eastAsia="Calibri" w:hAnsi="Times New Roman" w:cs="Times New Roman"/>
          <w:sz w:val="24"/>
          <w:szCs w:val="24"/>
        </w:rPr>
        <w:t>There is a proposal pending at IR-4 to support this project and BASF has agreed to support this efficacy and crop safety study at 50%.</w:t>
      </w:r>
      <w:r w:rsidR="005F62DD">
        <w:rPr>
          <w:rFonts w:ascii="Times New Roman" w:eastAsia="Calibri" w:hAnsi="Times New Roman" w:cs="Times New Roman"/>
          <w:sz w:val="24"/>
          <w:szCs w:val="24"/>
        </w:rPr>
        <w:t xml:space="preserve"> Funding rates for both sources TBD.</w:t>
      </w:r>
    </w:p>
    <w:p w14:paraId="31366B71" w14:textId="77777777" w:rsidR="00EA2345" w:rsidRDefault="00EA2345" w:rsidP="00EB40FA">
      <w:pPr>
        <w:rPr>
          <w:rFonts w:ascii="Times New Roman" w:eastAsia="Calibri" w:hAnsi="Times New Roman" w:cs="Times New Roman"/>
          <w:b/>
          <w:bCs/>
          <w:sz w:val="24"/>
          <w:szCs w:val="24"/>
        </w:rPr>
      </w:pPr>
    </w:p>
    <w:p w14:paraId="7BE0E399" w14:textId="77777777" w:rsidR="00EA2345" w:rsidRDefault="00EA2345">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40B39F6D" w14:textId="77777777" w:rsidR="00EA2345" w:rsidRPr="002D3F82" w:rsidRDefault="00EA2345" w:rsidP="00EA2345">
      <w:pPr>
        <w:rPr>
          <w:rFonts w:ascii="Times New Roman" w:hAnsi="Times New Roman" w:cs="Times New Roman"/>
          <w:b/>
          <w:bCs/>
          <w:sz w:val="24"/>
          <w:szCs w:val="24"/>
        </w:rPr>
      </w:pPr>
      <w:r w:rsidRPr="002D3F82">
        <w:rPr>
          <w:rFonts w:ascii="Times New Roman" w:hAnsi="Times New Roman" w:cs="Times New Roman"/>
          <w:b/>
          <w:bCs/>
          <w:sz w:val="24"/>
          <w:szCs w:val="24"/>
        </w:rPr>
        <w:lastRenderedPageBreak/>
        <w:t>Efficacy and Crop Safety of MBI015 (</w:t>
      </w:r>
      <w:proofErr w:type="spellStart"/>
      <w:r w:rsidRPr="002D3F82">
        <w:rPr>
          <w:rFonts w:ascii="Times New Roman" w:hAnsi="Times New Roman" w:cs="Times New Roman"/>
          <w:b/>
          <w:bCs/>
          <w:i/>
          <w:iCs/>
          <w:sz w:val="24"/>
          <w:szCs w:val="24"/>
        </w:rPr>
        <w:t>Burkholderia</w:t>
      </w:r>
      <w:proofErr w:type="spellEnd"/>
      <w:r w:rsidRPr="002D3F82">
        <w:rPr>
          <w:rFonts w:ascii="Times New Roman" w:hAnsi="Times New Roman" w:cs="Times New Roman"/>
          <w:b/>
          <w:bCs/>
          <w:i/>
          <w:iCs/>
          <w:sz w:val="24"/>
          <w:szCs w:val="24"/>
        </w:rPr>
        <w:t xml:space="preserve"> </w:t>
      </w:r>
      <w:proofErr w:type="spellStart"/>
      <w:r w:rsidRPr="002D3F82">
        <w:rPr>
          <w:rFonts w:ascii="Times New Roman" w:hAnsi="Times New Roman" w:cs="Times New Roman"/>
          <w:b/>
          <w:bCs/>
          <w:i/>
          <w:iCs/>
          <w:sz w:val="24"/>
          <w:szCs w:val="24"/>
        </w:rPr>
        <w:t>rinojensis</w:t>
      </w:r>
      <w:proofErr w:type="spellEnd"/>
      <w:r w:rsidRPr="002D3F82">
        <w:rPr>
          <w:rFonts w:ascii="Times New Roman" w:hAnsi="Times New Roman" w:cs="Times New Roman"/>
          <w:b/>
          <w:bCs/>
          <w:sz w:val="24"/>
          <w:szCs w:val="24"/>
        </w:rPr>
        <w:t>) on hops.</w:t>
      </w:r>
    </w:p>
    <w:p w14:paraId="50F7A892" w14:textId="77777777" w:rsidR="00EA2345" w:rsidRDefault="00EA2345" w:rsidP="00EB40FA">
      <w:pPr>
        <w:rPr>
          <w:rFonts w:ascii="Times New Roman" w:eastAsia="Calibri" w:hAnsi="Times New Roman" w:cs="Times New Roman"/>
          <w:b/>
          <w:bCs/>
          <w:sz w:val="24"/>
          <w:szCs w:val="24"/>
        </w:rPr>
      </w:pPr>
    </w:p>
    <w:p w14:paraId="1264505C" w14:textId="1E905E58" w:rsidR="00EB40FA" w:rsidRPr="002D3F82" w:rsidRDefault="00EA2345" w:rsidP="00EB40FA">
      <w:pPr>
        <w:rPr>
          <w:rFonts w:ascii="Times New Roman" w:eastAsia="Calibri" w:hAnsi="Times New Roman" w:cs="Times New Roman"/>
          <w:b/>
          <w:bCs/>
          <w:sz w:val="24"/>
          <w:szCs w:val="24"/>
        </w:rPr>
      </w:pPr>
      <w:r>
        <w:rPr>
          <w:rFonts w:ascii="Times New Roman" w:eastAsia="Calibri" w:hAnsi="Times New Roman" w:cs="Times New Roman"/>
          <w:b/>
          <w:bCs/>
          <w:sz w:val="24"/>
          <w:szCs w:val="24"/>
        </w:rPr>
        <w:t>Statement of Problem</w:t>
      </w:r>
    </w:p>
    <w:p w14:paraId="3BD4B83D" w14:textId="579FE59B" w:rsidR="0078640A" w:rsidRPr="0078640A" w:rsidRDefault="00EB40FA" w:rsidP="0078640A">
      <w:pPr>
        <w:rPr>
          <w:rFonts w:ascii="Times New Roman" w:eastAsia="Calibri" w:hAnsi="Times New Roman" w:cs="Times New Roman"/>
          <w:sz w:val="24"/>
          <w:szCs w:val="24"/>
        </w:rPr>
      </w:pPr>
      <w:r w:rsidRPr="002D3F82">
        <w:rPr>
          <w:rFonts w:ascii="Times New Roman" w:eastAsia="Calibri" w:hAnsi="Times New Roman" w:cs="Times New Roman"/>
          <w:sz w:val="24"/>
          <w:szCs w:val="24"/>
        </w:rPr>
        <w:t xml:space="preserve">This proposal is being submitted as a </w:t>
      </w:r>
      <w:proofErr w:type="gramStart"/>
      <w:r w:rsidRPr="002D3F82">
        <w:rPr>
          <w:rFonts w:ascii="Times New Roman" w:eastAsia="Calibri" w:hAnsi="Times New Roman" w:cs="Times New Roman"/>
          <w:sz w:val="24"/>
          <w:szCs w:val="24"/>
        </w:rPr>
        <w:t>place-holder</w:t>
      </w:r>
      <w:proofErr w:type="gramEnd"/>
      <w:r w:rsidRPr="002D3F82">
        <w:rPr>
          <w:rFonts w:ascii="Times New Roman" w:eastAsia="Calibri" w:hAnsi="Times New Roman" w:cs="Times New Roman"/>
          <w:sz w:val="24"/>
          <w:szCs w:val="24"/>
        </w:rPr>
        <w:t xml:space="preserve"> as a potential funding request from the WA Hop Commission and the Hop Research Council. Presently, the hop industry under Weed Scientist Marcelo Moretti’s leadership has submitted a request </w:t>
      </w:r>
      <w:r w:rsidR="002D3F82">
        <w:rPr>
          <w:rFonts w:ascii="Times New Roman" w:eastAsia="Calibri" w:hAnsi="Times New Roman" w:cs="Times New Roman"/>
          <w:sz w:val="24"/>
          <w:szCs w:val="24"/>
        </w:rPr>
        <w:t>for</w:t>
      </w:r>
      <w:r w:rsidRPr="002D3F82">
        <w:rPr>
          <w:rFonts w:ascii="Times New Roman" w:eastAsia="Calibri" w:hAnsi="Times New Roman" w:cs="Times New Roman"/>
          <w:sz w:val="24"/>
          <w:szCs w:val="24"/>
        </w:rPr>
        <w:t xml:space="preserve"> BASF’s herbicide </w:t>
      </w:r>
      <w:r w:rsidRPr="002D3F82">
        <w:rPr>
          <w:rFonts w:ascii="Times New Roman" w:hAnsi="Times New Roman" w:cs="Times New Roman"/>
          <w:sz w:val="24"/>
          <w:szCs w:val="24"/>
        </w:rPr>
        <w:t>MBI015 (</w:t>
      </w:r>
      <w:proofErr w:type="spellStart"/>
      <w:r w:rsidRPr="002D3F82">
        <w:rPr>
          <w:rFonts w:ascii="Times New Roman" w:hAnsi="Times New Roman" w:cs="Times New Roman"/>
          <w:i/>
          <w:iCs/>
          <w:sz w:val="24"/>
          <w:szCs w:val="24"/>
        </w:rPr>
        <w:t>Burkholderia</w:t>
      </w:r>
      <w:proofErr w:type="spellEnd"/>
      <w:r w:rsidRPr="002D3F82">
        <w:rPr>
          <w:rFonts w:ascii="Times New Roman" w:hAnsi="Times New Roman" w:cs="Times New Roman"/>
          <w:i/>
          <w:iCs/>
          <w:sz w:val="24"/>
          <w:szCs w:val="24"/>
        </w:rPr>
        <w:t xml:space="preserve"> </w:t>
      </w:r>
      <w:proofErr w:type="spellStart"/>
      <w:r w:rsidRPr="002D3F82">
        <w:rPr>
          <w:rFonts w:ascii="Times New Roman" w:hAnsi="Times New Roman" w:cs="Times New Roman"/>
          <w:i/>
          <w:iCs/>
          <w:sz w:val="24"/>
          <w:szCs w:val="24"/>
        </w:rPr>
        <w:t>rinojensis</w:t>
      </w:r>
      <w:proofErr w:type="spellEnd"/>
      <w:r w:rsidRPr="002D3F82">
        <w:rPr>
          <w:rFonts w:ascii="Times New Roman" w:hAnsi="Times New Roman" w:cs="Times New Roman"/>
          <w:sz w:val="24"/>
          <w:szCs w:val="24"/>
        </w:rPr>
        <w:t xml:space="preserve">) for funding consideration by the IR-4 program’s </w:t>
      </w:r>
      <w:r w:rsidRPr="002D3F82">
        <w:rPr>
          <w:rFonts w:ascii="Times New Roman" w:hAnsi="Times New Roman" w:cs="Times New Roman"/>
          <w:i/>
          <w:iCs/>
          <w:sz w:val="24"/>
          <w:szCs w:val="24"/>
        </w:rPr>
        <w:t>Integrated Solutions</w:t>
      </w:r>
      <w:r w:rsidRPr="002D3F82">
        <w:rPr>
          <w:rFonts w:ascii="Times New Roman" w:hAnsi="Times New Roman" w:cs="Times New Roman"/>
          <w:sz w:val="24"/>
          <w:szCs w:val="24"/>
        </w:rPr>
        <w:t xml:space="preserve"> </w:t>
      </w:r>
      <w:r w:rsidRPr="002D3F82">
        <w:rPr>
          <w:rFonts w:ascii="Times New Roman" w:eastAsia="Calibri" w:hAnsi="Times New Roman" w:cs="Times New Roman"/>
          <w:sz w:val="24"/>
          <w:szCs w:val="24"/>
        </w:rPr>
        <w:t xml:space="preserve">program. This program funds potential projects that involve developing pest management solutions for difficult projects requiring additional research. </w:t>
      </w:r>
      <w:r w:rsidR="002D3F82" w:rsidRPr="002D3F82">
        <w:rPr>
          <w:rFonts w:ascii="Times New Roman" w:eastAsia="Calibri" w:hAnsi="Times New Roman" w:cs="Times New Roman"/>
          <w:sz w:val="24"/>
          <w:szCs w:val="24"/>
        </w:rPr>
        <w:t>This request will be considered by IR-4 at the upcoming Food Use Workshop in mid-September 2022. BASF, the registrant for MOI015</w:t>
      </w:r>
      <w:r w:rsidR="002D3F82">
        <w:rPr>
          <w:rFonts w:ascii="Times New Roman" w:eastAsia="Calibri" w:hAnsi="Times New Roman" w:cs="Times New Roman"/>
          <w:sz w:val="24"/>
          <w:szCs w:val="24"/>
        </w:rPr>
        <w:t xml:space="preserve"> will require 4 efficacy and crop safety studies with MBI015 prior to approving registration of this product on hops. BASF has also agreed to fund 50% of the cost of these trials. We propose to complete 2 of these studies in 2 trials on hops at WSU IAREC. The first trial will be on our hop yard that is especially set up for herbicide efficacy and crop safety studies</w:t>
      </w:r>
      <w:r w:rsidR="0078640A">
        <w:rPr>
          <w:rFonts w:ascii="Times New Roman" w:eastAsia="Calibri" w:hAnsi="Times New Roman" w:cs="Times New Roman"/>
          <w:sz w:val="24"/>
          <w:szCs w:val="24"/>
        </w:rPr>
        <w:t xml:space="preserve">. This is </w:t>
      </w:r>
      <w:r w:rsidR="0078640A" w:rsidRPr="0078640A">
        <w:rPr>
          <w:rFonts w:ascii="Times New Roman" w:eastAsia="Calibri" w:hAnsi="Times New Roman" w:cs="Times New Roman"/>
          <w:sz w:val="24"/>
          <w:szCs w:val="24"/>
        </w:rPr>
        <w:t xml:space="preserve">a unique </w:t>
      </w:r>
      <w:r w:rsidR="0078640A">
        <w:rPr>
          <w:rFonts w:ascii="Times New Roman" w:eastAsia="Calibri" w:hAnsi="Times New Roman" w:cs="Times New Roman"/>
          <w:sz w:val="24"/>
          <w:szCs w:val="24"/>
        </w:rPr>
        <w:t>h</w:t>
      </w:r>
      <w:r w:rsidR="0078640A" w:rsidRPr="0078640A">
        <w:rPr>
          <w:rFonts w:ascii="Times New Roman" w:eastAsia="Calibri" w:hAnsi="Times New Roman" w:cs="Times New Roman"/>
          <w:sz w:val="24"/>
          <w:szCs w:val="24"/>
        </w:rPr>
        <w:t xml:space="preserve">op yard at IAREC that has 5 selections of hops across the yard. Plantings are </w:t>
      </w:r>
    </w:p>
    <w:p w14:paraId="333622D1" w14:textId="7286DF10" w:rsidR="00EB40FA" w:rsidRDefault="0078640A" w:rsidP="0078640A">
      <w:pPr>
        <w:rPr>
          <w:rFonts w:ascii="Times New Roman" w:eastAsia="Calibri" w:hAnsi="Times New Roman" w:cs="Times New Roman"/>
          <w:sz w:val="24"/>
          <w:szCs w:val="24"/>
        </w:rPr>
      </w:pPr>
      <w:r w:rsidRPr="0078640A">
        <w:rPr>
          <w:rFonts w:ascii="Times New Roman" w:eastAsia="Calibri" w:hAnsi="Times New Roman" w:cs="Times New Roman"/>
          <w:sz w:val="24"/>
          <w:szCs w:val="24"/>
        </w:rPr>
        <w:t xml:space="preserve">numbered from the south to the north. </w:t>
      </w:r>
      <w:r>
        <w:rPr>
          <w:rFonts w:ascii="Times New Roman" w:eastAsia="Calibri" w:hAnsi="Times New Roman" w:cs="Times New Roman"/>
          <w:sz w:val="24"/>
          <w:szCs w:val="24"/>
        </w:rPr>
        <w:t xml:space="preserve">Within row the first </w:t>
      </w:r>
      <w:r w:rsidRPr="0078640A">
        <w:rPr>
          <w:rFonts w:ascii="Times New Roman" w:eastAsia="Calibri" w:hAnsi="Times New Roman" w:cs="Times New Roman"/>
          <w:sz w:val="24"/>
          <w:szCs w:val="24"/>
        </w:rPr>
        <w:t xml:space="preserve">7 hills </w:t>
      </w:r>
      <w:r>
        <w:rPr>
          <w:rFonts w:ascii="Times New Roman" w:eastAsia="Calibri" w:hAnsi="Times New Roman" w:cs="Times New Roman"/>
          <w:sz w:val="24"/>
          <w:szCs w:val="24"/>
        </w:rPr>
        <w:t xml:space="preserve">are </w:t>
      </w:r>
      <w:r w:rsidRPr="0078640A">
        <w:rPr>
          <w:rFonts w:ascii="Times New Roman" w:eastAsia="Calibri" w:hAnsi="Times New Roman" w:cs="Times New Roman"/>
          <w:sz w:val="24"/>
          <w:szCs w:val="24"/>
        </w:rPr>
        <w:t xml:space="preserve">Cascade, </w:t>
      </w:r>
      <w:r>
        <w:rPr>
          <w:rFonts w:ascii="Times New Roman" w:eastAsia="Calibri" w:hAnsi="Times New Roman" w:cs="Times New Roman"/>
          <w:sz w:val="24"/>
          <w:szCs w:val="24"/>
        </w:rPr>
        <w:t xml:space="preserve">the </w:t>
      </w:r>
      <w:r w:rsidRPr="0078640A">
        <w:rPr>
          <w:rFonts w:ascii="Times New Roman" w:eastAsia="Calibri" w:hAnsi="Times New Roman" w:cs="Times New Roman"/>
          <w:sz w:val="24"/>
          <w:szCs w:val="24"/>
        </w:rPr>
        <w:t xml:space="preserve">next 20 hills </w:t>
      </w:r>
      <w:r>
        <w:rPr>
          <w:rFonts w:ascii="Times New Roman" w:eastAsia="Calibri" w:hAnsi="Times New Roman" w:cs="Times New Roman"/>
          <w:sz w:val="24"/>
          <w:szCs w:val="24"/>
        </w:rPr>
        <w:t>are</w:t>
      </w:r>
      <w:r w:rsidRPr="0078640A">
        <w:rPr>
          <w:rFonts w:ascii="Times New Roman" w:eastAsia="Calibri" w:hAnsi="Times New Roman" w:cs="Times New Roman"/>
          <w:sz w:val="24"/>
          <w:szCs w:val="24"/>
        </w:rPr>
        <w:t xml:space="preserve"> Chinook, </w:t>
      </w:r>
      <w:r>
        <w:rPr>
          <w:rFonts w:ascii="Times New Roman" w:eastAsia="Calibri" w:hAnsi="Times New Roman" w:cs="Times New Roman"/>
          <w:sz w:val="24"/>
          <w:szCs w:val="24"/>
        </w:rPr>
        <w:t xml:space="preserve">then </w:t>
      </w:r>
      <w:r w:rsidRPr="0078640A">
        <w:rPr>
          <w:rFonts w:ascii="Times New Roman" w:eastAsia="Calibri" w:hAnsi="Times New Roman" w:cs="Times New Roman"/>
          <w:sz w:val="24"/>
          <w:szCs w:val="24"/>
        </w:rPr>
        <w:t>20 hills of Willamette, 20 hills of Columbus, and the</w:t>
      </w:r>
      <w:r>
        <w:rPr>
          <w:rFonts w:ascii="Times New Roman" w:eastAsia="Calibri" w:hAnsi="Times New Roman" w:cs="Times New Roman"/>
          <w:sz w:val="24"/>
          <w:szCs w:val="24"/>
        </w:rPr>
        <w:t xml:space="preserve">n </w:t>
      </w:r>
      <w:r w:rsidRPr="0078640A">
        <w:rPr>
          <w:rFonts w:ascii="Times New Roman" w:eastAsia="Calibri" w:hAnsi="Times New Roman" w:cs="Times New Roman"/>
          <w:sz w:val="24"/>
          <w:szCs w:val="24"/>
        </w:rPr>
        <w:t>is 25 hills of Mt. Hood</w:t>
      </w:r>
      <w:r>
        <w:rPr>
          <w:rFonts w:ascii="Times New Roman" w:eastAsia="Calibri" w:hAnsi="Times New Roman" w:cs="Times New Roman"/>
          <w:sz w:val="24"/>
          <w:szCs w:val="24"/>
        </w:rPr>
        <w:t xml:space="preserve">. The second site will be in our Tomahawk block. We will apply MBI015 at 3 rates. The first rate will be the proposed maximum label rate for MBI015 of 64 fluid oz per acre and the other 2 rates will be at the exaggerated rates of 2X and 4X this maximum rate of 64 fluid oz per acre. Applications will be under several timings including dormant and in-season applications. The protocol will be finalized in winter 2023. Evaluations for efficacy and potential phytotoxicity will be completed after MBI015 applications and yields will be calculated for each of the 6 varieties based on the herbicide regime of MBI015 each of these varieties has received. This will aid towards registering this alternative </w:t>
      </w:r>
      <w:r w:rsidR="005548F2">
        <w:rPr>
          <w:rFonts w:ascii="Times New Roman" w:eastAsia="Calibri" w:hAnsi="Times New Roman" w:cs="Times New Roman"/>
          <w:sz w:val="24"/>
          <w:szCs w:val="24"/>
        </w:rPr>
        <w:t>herbicide on hops.</w:t>
      </w:r>
    </w:p>
    <w:p w14:paraId="3B286D10" w14:textId="18ECC938" w:rsidR="005548F2" w:rsidRDefault="005548F2" w:rsidP="0078640A">
      <w:pPr>
        <w:rPr>
          <w:rFonts w:ascii="Times New Roman" w:eastAsia="Calibri" w:hAnsi="Times New Roman" w:cs="Times New Roman"/>
          <w:sz w:val="24"/>
          <w:szCs w:val="24"/>
        </w:rPr>
      </w:pPr>
    </w:p>
    <w:p w14:paraId="4EF02AFB" w14:textId="02AB5BBA" w:rsidR="005548F2" w:rsidRPr="005548F2" w:rsidRDefault="00EA2345" w:rsidP="0078640A">
      <w:pPr>
        <w:rPr>
          <w:rFonts w:ascii="Times New Roman" w:eastAsia="Calibri" w:hAnsi="Times New Roman" w:cs="Times New Roman"/>
          <w:sz w:val="24"/>
          <w:szCs w:val="24"/>
        </w:rPr>
      </w:pPr>
      <w:r>
        <w:rPr>
          <w:rFonts w:ascii="Times New Roman" w:eastAsia="Calibri" w:hAnsi="Times New Roman" w:cs="Times New Roman"/>
          <w:b/>
          <w:bCs/>
          <w:sz w:val="24"/>
          <w:szCs w:val="24"/>
        </w:rPr>
        <w:t>Justification and Importance of Proposed Research</w:t>
      </w:r>
      <w:r w:rsidR="005548F2" w:rsidRPr="005548F2">
        <w:rPr>
          <w:rFonts w:ascii="Times New Roman" w:eastAsia="Calibri" w:hAnsi="Times New Roman" w:cs="Times New Roman"/>
          <w:b/>
          <w:bCs/>
          <w:sz w:val="24"/>
          <w:szCs w:val="24"/>
        </w:rPr>
        <w:t xml:space="preserve">: </w:t>
      </w:r>
      <w:r w:rsidR="005548F2">
        <w:rPr>
          <w:rFonts w:ascii="Times New Roman" w:eastAsia="Calibri" w:hAnsi="Times New Roman" w:cs="Times New Roman"/>
          <w:sz w:val="24"/>
          <w:szCs w:val="24"/>
        </w:rPr>
        <w:t>All pesticides registered on hop</w:t>
      </w:r>
      <w:r>
        <w:rPr>
          <w:rFonts w:ascii="Times New Roman" w:eastAsia="Calibri" w:hAnsi="Times New Roman" w:cs="Times New Roman"/>
          <w:sz w:val="24"/>
          <w:szCs w:val="24"/>
        </w:rPr>
        <w:t>s</w:t>
      </w:r>
      <w:r w:rsidR="005548F2">
        <w:rPr>
          <w:rFonts w:ascii="Times New Roman" w:eastAsia="Calibri" w:hAnsi="Times New Roman" w:cs="Times New Roman"/>
          <w:sz w:val="24"/>
          <w:szCs w:val="24"/>
        </w:rPr>
        <w:t xml:space="preserve"> including herbicides are facing increased scrutiny among domestic and international markets. MBI015 is a potential herbicide for registration on US hops that may be exempt from tolerance</w:t>
      </w:r>
      <w:r>
        <w:rPr>
          <w:rFonts w:ascii="Times New Roman" w:eastAsia="Calibri" w:hAnsi="Times New Roman" w:cs="Times New Roman"/>
          <w:sz w:val="24"/>
          <w:szCs w:val="24"/>
        </w:rPr>
        <w:t xml:space="preserve"> domestically and received positively in target export markets </w:t>
      </w:r>
      <w:r w:rsidR="005548F2">
        <w:rPr>
          <w:rFonts w:ascii="Times New Roman" w:eastAsia="Calibri" w:hAnsi="Times New Roman" w:cs="Times New Roman"/>
          <w:sz w:val="24"/>
          <w:szCs w:val="24"/>
        </w:rPr>
        <w:t xml:space="preserve">since it is produced in a broth of </w:t>
      </w:r>
      <w:proofErr w:type="spellStart"/>
      <w:r w:rsidR="005548F2" w:rsidRPr="005548F2">
        <w:rPr>
          <w:rFonts w:ascii="Times New Roman" w:eastAsia="Calibri" w:hAnsi="Times New Roman" w:cs="Times New Roman"/>
          <w:i/>
          <w:iCs/>
          <w:sz w:val="24"/>
          <w:szCs w:val="24"/>
        </w:rPr>
        <w:t>Burkholderia</w:t>
      </w:r>
      <w:proofErr w:type="spellEnd"/>
      <w:r w:rsidR="005548F2" w:rsidRPr="005548F2">
        <w:rPr>
          <w:rFonts w:ascii="Times New Roman" w:eastAsia="Calibri" w:hAnsi="Times New Roman" w:cs="Times New Roman"/>
          <w:i/>
          <w:iCs/>
          <w:sz w:val="24"/>
          <w:szCs w:val="24"/>
        </w:rPr>
        <w:t xml:space="preserve"> </w:t>
      </w:r>
      <w:proofErr w:type="spellStart"/>
      <w:r w:rsidR="005548F2" w:rsidRPr="005548F2">
        <w:rPr>
          <w:rFonts w:ascii="Times New Roman" w:eastAsia="Calibri" w:hAnsi="Times New Roman" w:cs="Times New Roman"/>
          <w:i/>
          <w:iCs/>
          <w:sz w:val="24"/>
          <w:szCs w:val="24"/>
        </w:rPr>
        <w:t>rinojensis</w:t>
      </w:r>
      <w:proofErr w:type="spellEnd"/>
      <w:r w:rsidR="005548F2">
        <w:rPr>
          <w:rFonts w:ascii="Times New Roman" w:eastAsia="Calibri" w:hAnsi="Times New Roman" w:cs="Times New Roman"/>
          <w:i/>
          <w:iCs/>
          <w:sz w:val="24"/>
          <w:szCs w:val="24"/>
        </w:rPr>
        <w:t xml:space="preserve">. </w:t>
      </w:r>
      <w:r w:rsidR="005548F2">
        <w:rPr>
          <w:rFonts w:ascii="Times New Roman" w:eastAsia="Calibri" w:hAnsi="Times New Roman" w:cs="Times New Roman"/>
          <w:sz w:val="24"/>
          <w:szCs w:val="24"/>
        </w:rPr>
        <w:t xml:space="preserve">The formulated product MBI015 has demonstrated herbicidal activity against a range of broadleaf weeds. This promising product has been submitted for funding consideration to the IR-4’s Integrated Solutions program. This proposal is being submitted to the WA Hop Commission and Hop Research Council proactively </w:t>
      </w:r>
      <w:r>
        <w:rPr>
          <w:rFonts w:ascii="Times New Roman" w:eastAsia="Calibri" w:hAnsi="Times New Roman" w:cs="Times New Roman"/>
          <w:sz w:val="24"/>
          <w:szCs w:val="24"/>
        </w:rPr>
        <w:t xml:space="preserve">as a </w:t>
      </w:r>
      <w:proofErr w:type="gramStart"/>
      <w:r>
        <w:rPr>
          <w:rFonts w:ascii="Times New Roman" w:eastAsia="Calibri" w:hAnsi="Times New Roman" w:cs="Times New Roman"/>
          <w:sz w:val="24"/>
          <w:szCs w:val="24"/>
        </w:rPr>
        <w:t>place-holder</w:t>
      </w:r>
      <w:proofErr w:type="gramEnd"/>
      <w:r>
        <w:rPr>
          <w:rFonts w:ascii="Times New Roman" w:eastAsia="Calibri" w:hAnsi="Times New Roman" w:cs="Times New Roman"/>
          <w:sz w:val="24"/>
          <w:szCs w:val="24"/>
        </w:rPr>
        <w:t xml:space="preserve"> to ensure that some work gets completed with this product in Washington State in 2023. </w:t>
      </w:r>
    </w:p>
    <w:p w14:paraId="611251A9" w14:textId="1999AAF1" w:rsidR="00EB40FA" w:rsidRDefault="00EB40FA" w:rsidP="00EB40FA">
      <w:pPr>
        <w:rPr>
          <w:rFonts w:ascii="Times New Roman" w:hAnsi="Times New Roman" w:cs="Times New Roman"/>
          <w:sz w:val="24"/>
          <w:szCs w:val="24"/>
        </w:rPr>
      </w:pPr>
    </w:p>
    <w:p w14:paraId="1C5FEC12" w14:textId="435D6198" w:rsidR="007C752B" w:rsidRPr="007C752B" w:rsidRDefault="007C752B" w:rsidP="007C752B">
      <w:pPr>
        <w:spacing w:line="240" w:lineRule="auto"/>
        <w:rPr>
          <w:rFonts w:ascii="Times New Roman" w:eastAsia="Times New Roman" w:hAnsi="Times New Roman" w:cs="Times New Roman"/>
          <w:b/>
          <w:sz w:val="24"/>
          <w:szCs w:val="24"/>
        </w:rPr>
      </w:pPr>
      <w:r w:rsidRPr="007C752B">
        <w:rPr>
          <w:rFonts w:ascii="Times New Roman" w:eastAsia="Times New Roman" w:hAnsi="Times New Roman" w:cs="Times New Roman"/>
          <w:b/>
          <w:sz w:val="24"/>
          <w:szCs w:val="24"/>
        </w:rPr>
        <w:t xml:space="preserve">Objective(s):  </w:t>
      </w:r>
      <w:r w:rsidRPr="005F62DD">
        <w:rPr>
          <w:rFonts w:ascii="Times New Roman" w:eastAsia="Times New Roman" w:hAnsi="Times New Roman" w:cs="Times New Roman"/>
          <w:bCs/>
          <w:sz w:val="24"/>
          <w:szCs w:val="24"/>
        </w:rPr>
        <w:t xml:space="preserve">To complete </w:t>
      </w:r>
      <w:r w:rsidR="005F62DD">
        <w:rPr>
          <w:rFonts w:ascii="Times New Roman" w:eastAsia="Times New Roman" w:hAnsi="Times New Roman" w:cs="Times New Roman"/>
          <w:bCs/>
          <w:sz w:val="24"/>
          <w:szCs w:val="24"/>
        </w:rPr>
        <w:t>some of the efficacy and crop safety studies BASF will require to permit the registration on MBI015 on hops.</w:t>
      </w:r>
    </w:p>
    <w:p w14:paraId="373F8F0E" w14:textId="6559521D" w:rsidR="007C752B" w:rsidRDefault="007C752B" w:rsidP="00EB40FA">
      <w:pPr>
        <w:rPr>
          <w:rFonts w:ascii="Times New Roman" w:hAnsi="Times New Roman" w:cs="Times New Roman"/>
          <w:sz w:val="24"/>
          <w:szCs w:val="24"/>
        </w:rPr>
      </w:pPr>
    </w:p>
    <w:p w14:paraId="2EB014E1" w14:textId="235F2E30" w:rsidR="005F62DD" w:rsidRDefault="005F62DD" w:rsidP="00EB40FA">
      <w:pPr>
        <w:rPr>
          <w:rFonts w:ascii="Times New Roman" w:hAnsi="Times New Roman" w:cs="Times New Roman"/>
          <w:b/>
          <w:bCs/>
          <w:sz w:val="24"/>
          <w:szCs w:val="24"/>
        </w:rPr>
      </w:pPr>
      <w:r w:rsidRPr="005F62DD">
        <w:rPr>
          <w:rFonts w:ascii="Times New Roman" w:hAnsi="Times New Roman" w:cs="Times New Roman"/>
          <w:b/>
          <w:bCs/>
          <w:sz w:val="24"/>
          <w:szCs w:val="24"/>
        </w:rPr>
        <w:t>Procedures/Methods to accomplish objectives:</w:t>
      </w:r>
    </w:p>
    <w:p w14:paraId="45A00F91" w14:textId="77777777" w:rsidR="004C497D" w:rsidRDefault="005F62DD" w:rsidP="005F62DD">
      <w:pPr>
        <w:rPr>
          <w:rFonts w:ascii="Times New Roman" w:hAnsi="Times New Roman" w:cs="Times New Roman"/>
          <w:sz w:val="24"/>
          <w:szCs w:val="24"/>
        </w:rPr>
      </w:pPr>
      <w:r w:rsidRPr="005F62DD">
        <w:rPr>
          <w:rFonts w:ascii="Times New Roman" w:hAnsi="Times New Roman" w:cs="Times New Roman"/>
          <w:sz w:val="24"/>
          <w:szCs w:val="24"/>
        </w:rPr>
        <w:t>1.</w:t>
      </w:r>
      <w:r w:rsidRPr="005F62DD">
        <w:rPr>
          <w:rFonts w:ascii="Times New Roman" w:hAnsi="Times New Roman" w:cs="Times New Roman"/>
          <w:sz w:val="24"/>
          <w:szCs w:val="24"/>
        </w:rPr>
        <w:tab/>
        <w:t>Location(s) where research will be conducted</w:t>
      </w:r>
      <w:r>
        <w:rPr>
          <w:rFonts w:ascii="Times New Roman" w:hAnsi="Times New Roman" w:cs="Times New Roman"/>
          <w:sz w:val="24"/>
          <w:szCs w:val="24"/>
        </w:rPr>
        <w:t xml:space="preserve">: </w:t>
      </w:r>
    </w:p>
    <w:p w14:paraId="67BCB6F2" w14:textId="538237B5" w:rsidR="005F62DD" w:rsidRPr="005F62DD" w:rsidRDefault="005F62DD" w:rsidP="004C497D">
      <w:pPr>
        <w:ind w:firstLine="720"/>
        <w:rPr>
          <w:rFonts w:ascii="Times New Roman" w:hAnsi="Times New Roman" w:cs="Times New Roman"/>
          <w:sz w:val="24"/>
          <w:szCs w:val="24"/>
        </w:rPr>
      </w:pPr>
      <w:r>
        <w:rPr>
          <w:rFonts w:ascii="Times New Roman" w:hAnsi="Times New Roman" w:cs="Times New Roman"/>
          <w:sz w:val="24"/>
          <w:szCs w:val="24"/>
        </w:rPr>
        <w:t>WSU Prosser, IAREC</w:t>
      </w:r>
      <w:r w:rsidRPr="005F62DD">
        <w:rPr>
          <w:rFonts w:ascii="Times New Roman" w:hAnsi="Times New Roman" w:cs="Times New Roman"/>
          <w:sz w:val="24"/>
          <w:szCs w:val="24"/>
        </w:rPr>
        <w:t xml:space="preserve"> </w:t>
      </w:r>
    </w:p>
    <w:p w14:paraId="206CB8DC" w14:textId="77777777" w:rsidR="004C497D" w:rsidRDefault="005F62DD" w:rsidP="005F62DD">
      <w:pPr>
        <w:ind w:left="720" w:hanging="720"/>
        <w:rPr>
          <w:rFonts w:ascii="Times New Roman" w:hAnsi="Times New Roman" w:cs="Times New Roman"/>
          <w:sz w:val="24"/>
          <w:szCs w:val="24"/>
        </w:rPr>
      </w:pPr>
      <w:r w:rsidRPr="005F62DD">
        <w:rPr>
          <w:rFonts w:ascii="Times New Roman" w:hAnsi="Times New Roman" w:cs="Times New Roman"/>
          <w:sz w:val="24"/>
          <w:szCs w:val="24"/>
        </w:rPr>
        <w:t>2.</w:t>
      </w:r>
      <w:r w:rsidRPr="005F62DD">
        <w:rPr>
          <w:rFonts w:ascii="Times New Roman" w:hAnsi="Times New Roman" w:cs="Times New Roman"/>
          <w:sz w:val="24"/>
          <w:szCs w:val="24"/>
        </w:rPr>
        <w:tab/>
        <w:t>Experimental procedures you propose to employ</w:t>
      </w:r>
      <w:r>
        <w:rPr>
          <w:rFonts w:ascii="Times New Roman" w:hAnsi="Times New Roman" w:cs="Times New Roman"/>
          <w:sz w:val="24"/>
          <w:szCs w:val="24"/>
        </w:rPr>
        <w:t xml:space="preserve">: </w:t>
      </w:r>
    </w:p>
    <w:p w14:paraId="4DC362A4" w14:textId="28820E56" w:rsidR="005F62DD" w:rsidRPr="005F62DD" w:rsidRDefault="005F62DD" w:rsidP="004C497D">
      <w:pPr>
        <w:ind w:left="720"/>
        <w:rPr>
          <w:rFonts w:ascii="Times New Roman" w:hAnsi="Times New Roman" w:cs="Times New Roman"/>
          <w:sz w:val="24"/>
          <w:szCs w:val="24"/>
        </w:rPr>
      </w:pPr>
      <w:r w:rsidRPr="005F62DD">
        <w:rPr>
          <w:rFonts w:ascii="Times New Roman" w:hAnsi="Times New Roman" w:cs="Times New Roman"/>
          <w:sz w:val="24"/>
          <w:szCs w:val="24"/>
        </w:rPr>
        <w:lastRenderedPageBreak/>
        <w:t>We propose to complete 2 of these studies in 2 trials on hops at WSU IAREC. The first trial will be on our hop yard that is especially set up for herbicide efficacy and crop safety studies. This is a unique hop yard at IAREC that has 5 selections of hops across the yard. Plantings are numbered from the south to the north. Within row the first 7 hills are Cascade, the next 20 hills are Chinook, then 20 hills of Willamette, 20 hills of Columbus, and then is 25 hills of Mt. Hood. The second site will be in our Tomahawk block. We will apply MBI015 at 3 rates. The first rate will be the proposed maximum label rate for MBI015 of 64 fluid oz per acre and the other 2 rates will be at the exaggerated rates of 2X and 4X this maximum rate of 64 fluid oz per acre. Applications will be under several timings including dormant and in-season applications. The protocol will be finalized in winter 2023. Evaluations for efficacy and potential phytotoxicity will be completed after MBI015 applications and yields will be calculated for each of the 6 varieties based on the herbicide regime of MBI015 each of these varieties has received.</w:t>
      </w:r>
    </w:p>
    <w:p w14:paraId="712F1C0A" w14:textId="77777777" w:rsidR="004C497D" w:rsidRDefault="005F62DD" w:rsidP="005F62DD">
      <w:pPr>
        <w:rPr>
          <w:rFonts w:ascii="Times New Roman" w:hAnsi="Times New Roman" w:cs="Times New Roman"/>
          <w:sz w:val="24"/>
          <w:szCs w:val="24"/>
        </w:rPr>
      </w:pPr>
      <w:r w:rsidRPr="005F62DD">
        <w:rPr>
          <w:rFonts w:ascii="Times New Roman" w:hAnsi="Times New Roman" w:cs="Times New Roman"/>
          <w:sz w:val="24"/>
          <w:szCs w:val="24"/>
        </w:rPr>
        <w:t>3.</w:t>
      </w:r>
      <w:r w:rsidRPr="005F62DD">
        <w:rPr>
          <w:rFonts w:ascii="Times New Roman" w:hAnsi="Times New Roman" w:cs="Times New Roman"/>
          <w:sz w:val="24"/>
          <w:szCs w:val="24"/>
        </w:rPr>
        <w:tab/>
        <w:t>Plot Design</w:t>
      </w:r>
      <w:r>
        <w:rPr>
          <w:rFonts w:ascii="Times New Roman" w:hAnsi="Times New Roman" w:cs="Times New Roman"/>
          <w:sz w:val="24"/>
          <w:szCs w:val="24"/>
        </w:rPr>
        <w:t>:</w:t>
      </w:r>
      <w:r w:rsidR="004C497D">
        <w:rPr>
          <w:rFonts w:ascii="Times New Roman" w:hAnsi="Times New Roman" w:cs="Times New Roman"/>
          <w:sz w:val="24"/>
          <w:szCs w:val="24"/>
        </w:rPr>
        <w:tab/>
      </w:r>
    </w:p>
    <w:p w14:paraId="5BAC09AA" w14:textId="448303A1" w:rsidR="005F62DD" w:rsidRPr="005F62DD" w:rsidRDefault="005F62DD" w:rsidP="004C497D">
      <w:pPr>
        <w:ind w:firstLine="720"/>
        <w:rPr>
          <w:rFonts w:ascii="Times New Roman" w:hAnsi="Times New Roman" w:cs="Times New Roman"/>
          <w:sz w:val="24"/>
          <w:szCs w:val="24"/>
        </w:rPr>
      </w:pPr>
      <w:r>
        <w:rPr>
          <w:rFonts w:ascii="Times New Roman" w:hAnsi="Times New Roman" w:cs="Times New Roman"/>
          <w:sz w:val="24"/>
          <w:szCs w:val="24"/>
        </w:rPr>
        <w:t xml:space="preserve"> Randomized complete block with a minimum of 3 replicates per treatment.</w:t>
      </w:r>
    </w:p>
    <w:p w14:paraId="1E955245" w14:textId="77777777" w:rsidR="004C497D" w:rsidRDefault="005F62DD" w:rsidP="00800721">
      <w:pPr>
        <w:ind w:left="720" w:hanging="720"/>
        <w:rPr>
          <w:rFonts w:ascii="Times New Roman" w:hAnsi="Times New Roman" w:cs="Times New Roman"/>
          <w:sz w:val="24"/>
          <w:szCs w:val="24"/>
        </w:rPr>
      </w:pPr>
      <w:r w:rsidRPr="005F62DD">
        <w:rPr>
          <w:rFonts w:ascii="Times New Roman" w:hAnsi="Times New Roman" w:cs="Times New Roman"/>
          <w:sz w:val="24"/>
          <w:szCs w:val="24"/>
        </w:rPr>
        <w:t>4.</w:t>
      </w:r>
      <w:r w:rsidRPr="005F62DD">
        <w:rPr>
          <w:rFonts w:ascii="Times New Roman" w:hAnsi="Times New Roman" w:cs="Times New Roman"/>
          <w:sz w:val="24"/>
          <w:szCs w:val="24"/>
        </w:rPr>
        <w:tab/>
        <w:t>Methods</w:t>
      </w:r>
      <w:r>
        <w:rPr>
          <w:rFonts w:ascii="Times New Roman" w:hAnsi="Times New Roman" w:cs="Times New Roman"/>
          <w:sz w:val="24"/>
          <w:szCs w:val="24"/>
        </w:rPr>
        <w:t xml:space="preserve">: </w:t>
      </w:r>
    </w:p>
    <w:p w14:paraId="71FBA1A9" w14:textId="3753A2B2" w:rsidR="005F62DD" w:rsidRPr="005F62DD" w:rsidRDefault="005F62DD" w:rsidP="004C497D">
      <w:pPr>
        <w:ind w:left="720"/>
        <w:rPr>
          <w:rFonts w:ascii="Times New Roman" w:hAnsi="Times New Roman" w:cs="Times New Roman"/>
          <w:sz w:val="24"/>
          <w:szCs w:val="24"/>
        </w:rPr>
      </w:pPr>
      <w:r>
        <w:rPr>
          <w:rFonts w:ascii="Times New Roman" w:hAnsi="Times New Roman" w:cs="Times New Roman"/>
          <w:sz w:val="24"/>
          <w:szCs w:val="24"/>
        </w:rPr>
        <w:t xml:space="preserve">Basal sprays of MBI015 will </w:t>
      </w:r>
      <w:r w:rsidR="00800721">
        <w:rPr>
          <w:rFonts w:ascii="Times New Roman" w:hAnsi="Times New Roman" w:cs="Times New Roman"/>
          <w:sz w:val="24"/>
          <w:szCs w:val="24"/>
        </w:rPr>
        <w:t xml:space="preserve">be applied at timing detailed by agreement among IR-4 and WSU </w:t>
      </w:r>
      <w:proofErr w:type="gramStart"/>
      <w:r w:rsidR="00800721">
        <w:rPr>
          <w:rFonts w:ascii="Times New Roman" w:hAnsi="Times New Roman" w:cs="Times New Roman"/>
          <w:sz w:val="24"/>
          <w:szCs w:val="24"/>
        </w:rPr>
        <w:t>staff  and</w:t>
      </w:r>
      <w:proofErr w:type="gramEnd"/>
      <w:r w:rsidR="00800721">
        <w:rPr>
          <w:rFonts w:ascii="Times New Roman" w:hAnsi="Times New Roman" w:cs="Times New Roman"/>
          <w:sz w:val="24"/>
          <w:szCs w:val="24"/>
        </w:rPr>
        <w:t xml:space="preserve"> BASF technical development representatives at multiple </w:t>
      </w:r>
      <w:r w:rsidR="004C497D">
        <w:rPr>
          <w:rFonts w:ascii="Times New Roman" w:hAnsi="Times New Roman" w:cs="Times New Roman"/>
          <w:sz w:val="24"/>
          <w:szCs w:val="24"/>
        </w:rPr>
        <w:t>timings</w:t>
      </w:r>
      <w:r w:rsidR="00800721">
        <w:rPr>
          <w:rFonts w:ascii="Times New Roman" w:hAnsi="Times New Roman" w:cs="Times New Roman"/>
          <w:sz w:val="24"/>
          <w:szCs w:val="24"/>
        </w:rPr>
        <w:t xml:space="preserve"> per </w:t>
      </w:r>
      <w:r w:rsidR="004C497D">
        <w:rPr>
          <w:rFonts w:ascii="Times New Roman" w:hAnsi="Times New Roman" w:cs="Times New Roman"/>
          <w:sz w:val="24"/>
          <w:szCs w:val="24"/>
        </w:rPr>
        <w:t xml:space="preserve">the </w:t>
      </w:r>
      <w:r w:rsidR="00800721">
        <w:rPr>
          <w:rFonts w:ascii="Times New Roman" w:hAnsi="Times New Roman" w:cs="Times New Roman"/>
          <w:sz w:val="24"/>
          <w:szCs w:val="24"/>
        </w:rPr>
        <w:t>dormant and growing season</w:t>
      </w:r>
      <w:r w:rsidR="004C497D">
        <w:rPr>
          <w:rFonts w:ascii="Times New Roman" w:hAnsi="Times New Roman" w:cs="Times New Roman"/>
          <w:sz w:val="24"/>
          <w:szCs w:val="24"/>
        </w:rPr>
        <w:t>s</w:t>
      </w:r>
      <w:r w:rsidR="00800721">
        <w:rPr>
          <w:rFonts w:ascii="Times New Roman" w:hAnsi="Times New Roman" w:cs="Times New Roman"/>
          <w:sz w:val="24"/>
          <w:szCs w:val="24"/>
        </w:rPr>
        <w:t xml:space="preserve"> of 2023.</w:t>
      </w:r>
    </w:p>
    <w:p w14:paraId="4E58F7EF" w14:textId="77777777" w:rsidR="004C497D" w:rsidRDefault="005F62DD" w:rsidP="004C497D">
      <w:pPr>
        <w:ind w:left="720" w:hanging="720"/>
        <w:rPr>
          <w:rFonts w:ascii="Times New Roman" w:hAnsi="Times New Roman" w:cs="Times New Roman"/>
          <w:sz w:val="24"/>
          <w:szCs w:val="24"/>
        </w:rPr>
      </w:pPr>
      <w:r w:rsidRPr="005F62DD">
        <w:rPr>
          <w:rFonts w:ascii="Times New Roman" w:hAnsi="Times New Roman" w:cs="Times New Roman"/>
          <w:sz w:val="24"/>
          <w:szCs w:val="24"/>
        </w:rPr>
        <w:t>5.</w:t>
      </w:r>
      <w:r w:rsidRPr="005F62DD">
        <w:rPr>
          <w:rFonts w:ascii="Times New Roman" w:hAnsi="Times New Roman" w:cs="Times New Roman"/>
          <w:sz w:val="24"/>
          <w:szCs w:val="24"/>
        </w:rPr>
        <w:tab/>
        <w:t>Means by which data will be analyzed or interpreted</w:t>
      </w:r>
      <w:r w:rsidR="00800721">
        <w:rPr>
          <w:rFonts w:ascii="Times New Roman" w:hAnsi="Times New Roman" w:cs="Times New Roman"/>
          <w:sz w:val="24"/>
          <w:szCs w:val="24"/>
        </w:rPr>
        <w:t xml:space="preserve">. </w:t>
      </w:r>
      <w:r w:rsidR="004C497D">
        <w:rPr>
          <w:rFonts w:ascii="Times New Roman" w:hAnsi="Times New Roman" w:cs="Times New Roman"/>
          <w:sz w:val="24"/>
          <w:szCs w:val="24"/>
        </w:rPr>
        <w:t xml:space="preserve"> </w:t>
      </w:r>
    </w:p>
    <w:p w14:paraId="5D75C79B" w14:textId="6181DF1B" w:rsidR="005F62DD" w:rsidRPr="005F62DD" w:rsidRDefault="004C497D" w:rsidP="004C497D">
      <w:pPr>
        <w:ind w:left="720"/>
        <w:rPr>
          <w:rFonts w:ascii="Times New Roman" w:hAnsi="Times New Roman" w:cs="Times New Roman"/>
          <w:sz w:val="24"/>
          <w:szCs w:val="24"/>
        </w:rPr>
      </w:pPr>
      <w:r>
        <w:rPr>
          <w:rFonts w:ascii="Times New Roman" w:hAnsi="Times New Roman" w:cs="Times New Roman"/>
          <w:sz w:val="24"/>
          <w:szCs w:val="24"/>
        </w:rPr>
        <w:t xml:space="preserve">Visual inspection of the hop </w:t>
      </w:r>
      <w:proofErr w:type="gramStart"/>
      <w:r>
        <w:rPr>
          <w:rFonts w:ascii="Times New Roman" w:hAnsi="Times New Roman" w:cs="Times New Roman"/>
          <w:sz w:val="24"/>
          <w:szCs w:val="24"/>
        </w:rPr>
        <w:t>plants  will</w:t>
      </w:r>
      <w:proofErr w:type="gramEnd"/>
      <w:r>
        <w:rPr>
          <w:rFonts w:ascii="Times New Roman" w:hAnsi="Times New Roman" w:cs="Times New Roman"/>
          <w:sz w:val="24"/>
          <w:szCs w:val="24"/>
        </w:rPr>
        <w:t xml:space="preserve"> be completed at specific timings post treatment with MBI015 and given a numerical score for each replicate of each treatment. These data will be analyzed by analysis of variance and if the ANOVA passes the </w:t>
      </w:r>
      <w:r w:rsidRPr="004C497D">
        <w:rPr>
          <w:rFonts w:ascii="Times New Roman" w:hAnsi="Times New Roman" w:cs="Times New Roman"/>
          <w:i/>
          <w:iCs/>
          <w:sz w:val="24"/>
          <w:szCs w:val="24"/>
        </w:rPr>
        <w:t>F</w:t>
      </w:r>
      <w:r>
        <w:rPr>
          <w:rFonts w:ascii="Times New Roman" w:hAnsi="Times New Roman" w:cs="Times New Roman"/>
          <w:sz w:val="24"/>
          <w:szCs w:val="24"/>
        </w:rPr>
        <w:t xml:space="preserve">-test means separation tests will be completed. Yields from each of the plots will be taken by completing dry matter tests beginning in late </w:t>
      </w:r>
      <w:proofErr w:type="gramStart"/>
      <w:r>
        <w:rPr>
          <w:rFonts w:ascii="Times New Roman" w:hAnsi="Times New Roman" w:cs="Times New Roman"/>
          <w:sz w:val="24"/>
          <w:szCs w:val="24"/>
        </w:rPr>
        <w:t>August  and</w:t>
      </w:r>
      <w:proofErr w:type="gramEnd"/>
      <w:r>
        <w:rPr>
          <w:rFonts w:ascii="Times New Roman" w:hAnsi="Times New Roman" w:cs="Times New Roman"/>
          <w:sz w:val="24"/>
          <w:szCs w:val="24"/>
        </w:rPr>
        <w:t xml:space="preserve"> as each variety matures and ripens they will be harvested with a minimum of 8 bines per treatment replicate per variety. Weights will be calculated and extrapolated to the potential yield per acre. </w:t>
      </w:r>
      <w:r w:rsidRPr="004C497D">
        <w:rPr>
          <w:rFonts w:ascii="Times New Roman" w:hAnsi="Times New Roman" w:cs="Times New Roman"/>
          <w:sz w:val="24"/>
          <w:szCs w:val="24"/>
        </w:rPr>
        <w:t>These data will be analyzed by analysis of variance and if the ANOVA passes the F-test means separation tests will be completed.</w:t>
      </w:r>
    </w:p>
    <w:p w14:paraId="157BB837" w14:textId="462C5F98" w:rsidR="005F62DD" w:rsidRDefault="005F62DD" w:rsidP="005F62DD">
      <w:pPr>
        <w:rPr>
          <w:rFonts w:ascii="Times New Roman" w:hAnsi="Times New Roman" w:cs="Times New Roman"/>
          <w:sz w:val="24"/>
          <w:szCs w:val="24"/>
        </w:rPr>
      </w:pPr>
      <w:r w:rsidRPr="005F62DD">
        <w:rPr>
          <w:rFonts w:ascii="Times New Roman" w:hAnsi="Times New Roman" w:cs="Times New Roman"/>
          <w:sz w:val="24"/>
          <w:szCs w:val="24"/>
        </w:rPr>
        <w:t>6.</w:t>
      </w:r>
      <w:r w:rsidRPr="005F62DD">
        <w:rPr>
          <w:rFonts w:ascii="Times New Roman" w:hAnsi="Times New Roman" w:cs="Times New Roman"/>
          <w:sz w:val="24"/>
          <w:szCs w:val="24"/>
        </w:rPr>
        <w:tab/>
        <w:t>Potential pitfalls and limitations to proposed procedures, if applicable.</w:t>
      </w:r>
      <w:r w:rsidR="004C497D">
        <w:rPr>
          <w:rFonts w:ascii="Times New Roman" w:hAnsi="Times New Roman" w:cs="Times New Roman"/>
          <w:sz w:val="24"/>
          <w:szCs w:val="24"/>
        </w:rPr>
        <w:t xml:space="preserve"> </w:t>
      </w:r>
    </w:p>
    <w:p w14:paraId="4A47DEC3" w14:textId="77777777" w:rsidR="00A14509" w:rsidRDefault="004C497D" w:rsidP="004C497D">
      <w:pPr>
        <w:ind w:left="720"/>
        <w:rPr>
          <w:rFonts w:ascii="Times New Roman" w:hAnsi="Times New Roman" w:cs="Times New Roman"/>
          <w:sz w:val="24"/>
          <w:szCs w:val="24"/>
        </w:rPr>
      </w:pPr>
      <w:r>
        <w:rPr>
          <w:rFonts w:ascii="Times New Roman" w:hAnsi="Times New Roman" w:cs="Times New Roman"/>
          <w:sz w:val="24"/>
          <w:szCs w:val="24"/>
        </w:rPr>
        <w:t xml:space="preserve">As with all herbicide efficacy and crop safety studies with candidate herbicides, the efficacy of MBI015 may not provide adequate weed or sucker control or MBI015 may prove to be too phytotoxic </w:t>
      </w:r>
      <w:r w:rsidR="00A14509">
        <w:rPr>
          <w:rFonts w:ascii="Times New Roman" w:hAnsi="Times New Roman" w:cs="Times New Roman"/>
          <w:sz w:val="24"/>
          <w:szCs w:val="24"/>
        </w:rPr>
        <w:t xml:space="preserve">for hops. </w:t>
      </w:r>
    </w:p>
    <w:p w14:paraId="410888AD" w14:textId="77777777" w:rsidR="00A14509" w:rsidRDefault="00A14509" w:rsidP="00A14509">
      <w:pPr>
        <w:rPr>
          <w:rFonts w:ascii="Times New Roman" w:hAnsi="Times New Roman" w:cs="Times New Roman"/>
          <w:sz w:val="24"/>
          <w:szCs w:val="24"/>
        </w:rPr>
      </w:pPr>
    </w:p>
    <w:p w14:paraId="2F5C26E8" w14:textId="4DE705F8" w:rsidR="004C497D" w:rsidRDefault="00A14509" w:rsidP="00A14509">
      <w:pPr>
        <w:rPr>
          <w:rFonts w:ascii="Times New Roman" w:hAnsi="Times New Roman" w:cs="Times New Roman"/>
          <w:b/>
          <w:bCs/>
          <w:sz w:val="24"/>
          <w:szCs w:val="24"/>
        </w:rPr>
      </w:pPr>
      <w:r w:rsidRPr="00A14509">
        <w:rPr>
          <w:rFonts w:ascii="Times New Roman" w:hAnsi="Times New Roman" w:cs="Times New Roman"/>
          <w:b/>
          <w:bCs/>
          <w:sz w:val="24"/>
          <w:szCs w:val="24"/>
        </w:rPr>
        <w:t>Time Frame for Objectives:</w:t>
      </w:r>
    </w:p>
    <w:p w14:paraId="32DCD2D6" w14:textId="4D835945" w:rsidR="00335FDA" w:rsidRDefault="00A14509" w:rsidP="00A14509">
      <w:pPr>
        <w:rPr>
          <w:rFonts w:ascii="Times New Roman" w:hAnsi="Times New Roman" w:cs="Times New Roman"/>
          <w:sz w:val="24"/>
          <w:szCs w:val="24"/>
        </w:rPr>
      </w:pPr>
      <w:r>
        <w:rPr>
          <w:rFonts w:ascii="Times New Roman" w:hAnsi="Times New Roman" w:cs="Times New Roman"/>
          <w:sz w:val="24"/>
          <w:szCs w:val="24"/>
        </w:rPr>
        <w:t xml:space="preserve">When procedures and treatments are finalized a revised proposal with a timeline and Gantt style worksheet will be developed and provided to the WA Hop Commission and Hop Research Council. </w:t>
      </w:r>
    </w:p>
    <w:p w14:paraId="43047D70" w14:textId="77777777" w:rsidR="00335FDA" w:rsidRDefault="00335FDA">
      <w:pPr>
        <w:rPr>
          <w:rFonts w:ascii="Times New Roman" w:hAnsi="Times New Roman" w:cs="Times New Roman"/>
          <w:sz w:val="24"/>
          <w:szCs w:val="24"/>
        </w:rPr>
      </w:pPr>
      <w:r>
        <w:rPr>
          <w:rFonts w:ascii="Times New Roman" w:hAnsi="Times New Roman" w:cs="Times New Roman"/>
          <w:sz w:val="24"/>
          <w:szCs w:val="24"/>
        </w:rPr>
        <w:br w:type="page"/>
      </w:r>
    </w:p>
    <w:p w14:paraId="3470268A" w14:textId="6A0CF505" w:rsidR="00A14509" w:rsidRPr="00EB74E4" w:rsidRDefault="00EB74E4" w:rsidP="00A14509">
      <w:pPr>
        <w:rPr>
          <w:rFonts w:ascii="Times New Roman" w:hAnsi="Times New Roman" w:cs="Times New Roman"/>
          <w:b/>
          <w:bCs/>
          <w:sz w:val="24"/>
          <w:szCs w:val="24"/>
        </w:rPr>
      </w:pPr>
      <w:r w:rsidRPr="00EB74E4">
        <w:rPr>
          <w:rFonts w:ascii="Times New Roman" w:hAnsi="Times New Roman" w:cs="Times New Roman"/>
          <w:b/>
          <w:bCs/>
          <w:sz w:val="24"/>
          <w:szCs w:val="24"/>
        </w:rPr>
        <w:lastRenderedPageBreak/>
        <w:t>Project Budget:</w:t>
      </w:r>
      <w:r w:rsidR="00545FB1">
        <w:rPr>
          <w:rFonts w:ascii="Times New Roman" w:hAnsi="Times New Roman" w:cs="Times New Roman"/>
          <w:b/>
          <w:bCs/>
          <w:sz w:val="24"/>
          <w:szCs w:val="24"/>
        </w:rPr>
        <w:t xml:space="preserve"> 60% HRC, 40% WA Hop Commission</w:t>
      </w: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710"/>
        <w:gridCol w:w="1980"/>
        <w:gridCol w:w="1890"/>
        <w:gridCol w:w="2662"/>
      </w:tblGrid>
      <w:tr w:rsidR="00682CE6" w:rsidRPr="00682CE6" w14:paraId="4CBBBB62" w14:textId="77777777" w:rsidTr="0075770C">
        <w:tblPrEx>
          <w:tblCellMar>
            <w:top w:w="0" w:type="dxa"/>
            <w:bottom w:w="0" w:type="dxa"/>
          </w:tblCellMar>
        </w:tblPrEx>
        <w:trPr>
          <w:cantSplit/>
        </w:trPr>
        <w:tc>
          <w:tcPr>
            <w:tcW w:w="1548" w:type="dxa"/>
            <w:vMerge w:val="restart"/>
          </w:tcPr>
          <w:p w14:paraId="6B0439B7"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Expenditure</w:t>
            </w:r>
          </w:p>
        </w:tc>
        <w:tc>
          <w:tcPr>
            <w:tcW w:w="1710" w:type="dxa"/>
            <w:vMerge w:val="restart"/>
          </w:tcPr>
          <w:p w14:paraId="1C270A75" w14:textId="77777777"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Hop Research</w:t>
            </w:r>
          </w:p>
          <w:p w14:paraId="20C8F06A" w14:textId="77777777"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Council Request</w:t>
            </w:r>
          </w:p>
        </w:tc>
        <w:tc>
          <w:tcPr>
            <w:tcW w:w="3870" w:type="dxa"/>
            <w:gridSpan w:val="2"/>
          </w:tcPr>
          <w:p w14:paraId="57BBD80A" w14:textId="77777777"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 xml:space="preserve">Commission/Other Request (specify) </w:t>
            </w:r>
          </w:p>
        </w:tc>
        <w:tc>
          <w:tcPr>
            <w:tcW w:w="2662" w:type="dxa"/>
            <w:vMerge w:val="restart"/>
          </w:tcPr>
          <w:p w14:paraId="5C5BE70D" w14:textId="77777777"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Total Amount Requested</w:t>
            </w:r>
          </w:p>
        </w:tc>
      </w:tr>
      <w:tr w:rsidR="00682CE6" w:rsidRPr="00682CE6" w14:paraId="523F3D2F" w14:textId="77777777" w:rsidTr="0075770C">
        <w:tblPrEx>
          <w:tblCellMar>
            <w:top w:w="0" w:type="dxa"/>
            <w:bottom w:w="0" w:type="dxa"/>
          </w:tblCellMar>
        </w:tblPrEx>
        <w:trPr>
          <w:cantSplit/>
        </w:trPr>
        <w:tc>
          <w:tcPr>
            <w:tcW w:w="1548" w:type="dxa"/>
            <w:vMerge/>
          </w:tcPr>
          <w:p w14:paraId="59107A63" w14:textId="77777777" w:rsidR="00682CE6" w:rsidRPr="00682CE6" w:rsidRDefault="00682CE6" w:rsidP="00682CE6">
            <w:pPr>
              <w:spacing w:line="240" w:lineRule="auto"/>
              <w:rPr>
                <w:rFonts w:ascii="Times New Roman" w:eastAsia="Times New Roman" w:hAnsi="Times New Roman" w:cs="Times New Roman"/>
                <w:sz w:val="24"/>
                <w:szCs w:val="24"/>
              </w:rPr>
            </w:pPr>
          </w:p>
        </w:tc>
        <w:tc>
          <w:tcPr>
            <w:tcW w:w="1710" w:type="dxa"/>
            <w:vMerge/>
          </w:tcPr>
          <w:p w14:paraId="6834155C" w14:textId="77777777" w:rsidR="00682CE6" w:rsidRPr="00682CE6" w:rsidRDefault="00682CE6" w:rsidP="00682CE6">
            <w:pPr>
              <w:spacing w:line="240" w:lineRule="auto"/>
              <w:rPr>
                <w:rFonts w:ascii="Times New Roman" w:eastAsia="Times New Roman" w:hAnsi="Times New Roman" w:cs="Times New Roman"/>
                <w:sz w:val="24"/>
                <w:szCs w:val="24"/>
              </w:rPr>
            </w:pPr>
          </w:p>
        </w:tc>
        <w:tc>
          <w:tcPr>
            <w:tcW w:w="1980" w:type="dxa"/>
          </w:tcPr>
          <w:p w14:paraId="31244BC1" w14:textId="6733A91F" w:rsidR="00682CE6" w:rsidRPr="00682CE6" w:rsidRDefault="00682CE6" w:rsidP="00682CE6">
            <w:pPr>
              <w:spacing w:line="240" w:lineRule="auto"/>
              <w:rPr>
                <w:rFonts w:ascii="Times New Roman" w:eastAsia="Times New Roman" w:hAnsi="Times New Roman" w:cs="Times New Roman"/>
                <w:sz w:val="24"/>
                <w:szCs w:val="24"/>
              </w:rPr>
            </w:pPr>
            <w:proofErr w:type="spellStart"/>
            <w:proofErr w:type="gramStart"/>
            <w:r w:rsidRPr="00682CE6">
              <w:rPr>
                <w:rFonts w:ascii="Times New Roman" w:eastAsia="Times New Roman" w:hAnsi="Times New Roman" w:cs="Times New Roman"/>
                <w:sz w:val="24"/>
                <w:szCs w:val="24"/>
              </w:rPr>
              <w:t>State:</w:t>
            </w:r>
            <w:r w:rsidR="00545FB1" w:rsidRPr="00545FB1">
              <w:rPr>
                <w:rFonts w:ascii="Times New Roman" w:eastAsia="Times New Roman" w:hAnsi="Times New Roman" w:cs="Times New Roman"/>
                <w:sz w:val="24"/>
                <w:szCs w:val="24"/>
              </w:rPr>
              <w:t>Washington</w:t>
            </w:r>
            <w:proofErr w:type="spellEnd"/>
            <w:proofErr w:type="gramEnd"/>
          </w:p>
        </w:tc>
        <w:tc>
          <w:tcPr>
            <w:tcW w:w="1890" w:type="dxa"/>
          </w:tcPr>
          <w:p w14:paraId="587B0314"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Other:</w:t>
            </w:r>
          </w:p>
        </w:tc>
        <w:tc>
          <w:tcPr>
            <w:tcW w:w="2662" w:type="dxa"/>
            <w:vMerge/>
          </w:tcPr>
          <w:p w14:paraId="0231F98D" w14:textId="77777777" w:rsidR="00682CE6" w:rsidRPr="00682CE6" w:rsidRDefault="00682CE6" w:rsidP="00682CE6">
            <w:pPr>
              <w:spacing w:line="240" w:lineRule="auto"/>
              <w:rPr>
                <w:rFonts w:ascii="Times New Roman" w:eastAsia="Times New Roman" w:hAnsi="Times New Roman" w:cs="Times New Roman"/>
                <w:sz w:val="24"/>
                <w:szCs w:val="24"/>
              </w:rPr>
            </w:pPr>
          </w:p>
        </w:tc>
      </w:tr>
      <w:tr w:rsidR="00682CE6" w:rsidRPr="00682CE6" w14:paraId="363A9737" w14:textId="77777777" w:rsidTr="0075770C">
        <w:tblPrEx>
          <w:tblCellMar>
            <w:top w:w="0" w:type="dxa"/>
            <w:bottom w:w="0" w:type="dxa"/>
          </w:tblCellMar>
        </w:tblPrEx>
        <w:trPr>
          <w:cantSplit/>
        </w:trPr>
        <w:tc>
          <w:tcPr>
            <w:tcW w:w="1548" w:type="dxa"/>
            <w:vMerge/>
          </w:tcPr>
          <w:p w14:paraId="5F1B1F4C" w14:textId="77777777" w:rsidR="00682CE6" w:rsidRPr="00682CE6" w:rsidRDefault="00682CE6" w:rsidP="00682CE6">
            <w:pPr>
              <w:spacing w:line="240" w:lineRule="auto"/>
              <w:rPr>
                <w:rFonts w:ascii="Times New Roman" w:eastAsia="Times New Roman" w:hAnsi="Times New Roman" w:cs="Times New Roman"/>
                <w:sz w:val="24"/>
                <w:szCs w:val="24"/>
              </w:rPr>
            </w:pPr>
          </w:p>
        </w:tc>
        <w:tc>
          <w:tcPr>
            <w:tcW w:w="1710" w:type="dxa"/>
            <w:vMerge/>
          </w:tcPr>
          <w:p w14:paraId="2E8C94AE" w14:textId="77777777" w:rsidR="00682CE6" w:rsidRPr="00682CE6" w:rsidRDefault="00682CE6" w:rsidP="00682CE6">
            <w:pPr>
              <w:spacing w:line="240" w:lineRule="auto"/>
              <w:rPr>
                <w:rFonts w:ascii="Times New Roman" w:eastAsia="Times New Roman" w:hAnsi="Times New Roman" w:cs="Times New Roman"/>
                <w:sz w:val="24"/>
                <w:szCs w:val="24"/>
              </w:rPr>
            </w:pPr>
          </w:p>
        </w:tc>
        <w:tc>
          <w:tcPr>
            <w:tcW w:w="1980" w:type="dxa"/>
          </w:tcPr>
          <w:p w14:paraId="6230AA88" w14:textId="59338A73"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Amount (cash</w:t>
            </w:r>
            <w:r w:rsidR="00545FB1" w:rsidRPr="00545FB1">
              <w:rPr>
                <w:rFonts w:ascii="Times New Roman" w:eastAsia="Times New Roman" w:hAnsi="Times New Roman" w:cs="Times New Roman"/>
                <w:sz w:val="24"/>
                <w:szCs w:val="24"/>
              </w:rPr>
              <w:t>)</w:t>
            </w:r>
          </w:p>
        </w:tc>
        <w:tc>
          <w:tcPr>
            <w:tcW w:w="1890" w:type="dxa"/>
          </w:tcPr>
          <w:p w14:paraId="000AFCA6" w14:textId="77777777" w:rsidR="00682CE6" w:rsidRPr="00682CE6" w:rsidRDefault="00682CE6" w:rsidP="00682CE6">
            <w:pPr>
              <w:spacing w:line="240" w:lineRule="auto"/>
              <w:jc w:val="center"/>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Amount (cash or in-kind)</w:t>
            </w:r>
          </w:p>
        </w:tc>
        <w:tc>
          <w:tcPr>
            <w:tcW w:w="2662" w:type="dxa"/>
            <w:vMerge/>
          </w:tcPr>
          <w:p w14:paraId="408B2C98" w14:textId="77777777" w:rsidR="00682CE6" w:rsidRPr="00682CE6" w:rsidRDefault="00682CE6" w:rsidP="00682CE6">
            <w:pPr>
              <w:spacing w:line="240" w:lineRule="auto"/>
              <w:rPr>
                <w:rFonts w:ascii="Times New Roman" w:eastAsia="Times New Roman" w:hAnsi="Times New Roman" w:cs="Times New Roman"/>
                <w:sz w:val="24"/>
                <w:szCs w:val="24"/>
              </w:rPr>
            </w:pPr>
          </w:p>
        </w:tc>
      </w:tr>
      <w:tr w:rsidR="00682CE6" w:rsidRPr="00682CE6" w14:paraId="3B8E81CA" w14:textId="77777777" w:rsidTr="0075770C">
        <w:tblPrEx>
          <w:tblCellMar>
            <w:top w:w="0" w:type="dxa"/>
            <w:bottom w:w="0" w:type="dxa"/>
          </w:tblCellMar>
        </w:tblPrEx>
        <w:tc>
          <w:tcPr>
            <w:tcW w:w="1548" w:type="dxa"/>
          </w:tcPr>
          <w:p w14:paraId="00C7F1D9"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Salaries</w:t>
            </w:r>
            <w:r w:rsidRPr="00682CE6">
              <w:rPr>
                <w:rFonts w:ascii="Times New Roman" w:eastAsia="Times New Roman" w:hAnsi="Times New Roman" w:cs="Times New Roman"/>
                <w:sz w:val="24"/>
                <w:szCs w:val="24"/>
                <w:vertAlign w:val="superscript"/>
              </w:rPr>
              <w:t>1</w:t>
            </w:r>
          </w:p>
        </w:tc>
        <w:tc>
          <w:tcPr>
            <w:tcW w:w="1710" w:type="dxa"/>
          </w:tcPr>
          <w:p w14:paraId="1195D5A5" w14:textId="3C3C1272" w:rsidR="00545FB1"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5,027</w:t>
            </w:r>
          </w:p>
        </w:tc>
        <w:tc>
          <w:tcPr>
            <w:tcW w:w="1980" w:type="dxa"/>
          </w:tcPr>
          <w:p w14:paraId="3C31DD2E" w14:textId="174E5B03"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3,351</w:t>
            </w:r>
          </w:p>
        </w:tc>
        <w:tc>
          <w:tcPr>
            <w:tcW w:w="1890" w:type="dxa"/>
          </w:tcPr>
          <w:p w14:paraId="5FFF0291"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55125688" w14:textId="54707678"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8,378</w:t>
            </w:r>
          </w:p>
        </w:tc>
      </w:tr>
      <w:tr w:rsidR="00682CE6" w:rsidRPr="00682CE6" w14:paraId="4038A102" w14:textId="77777777" w:rsidTr="0075770C">
        <w:tblPrEx>
          <w:tblCellMar>
            <w:top w:w="0" w:type="dxa"/>
            <w:bottom w:w="0" w:type="dxa"/>
          </w:tblCellMar>
        </w:tblPrEx>
        <w:tc>
          <w:tcPr>
            <w:tcW w:w="1548" w:type="dxa"/>
          </w:tcPr>
          <w:p w14:paraId="6515E8D0"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Employee Benefits</w:t>
            </w:r>
          </w:p>
        </w:tc>
        <w:tc>
          <w:tcPr>
            <w:tcW w:w="1710" w:type="dxa"/>
          </w:tcPr>
          <w:p w14:paraId="7A7F91CA" w14:textId="77777777" w:rsidR="00682CE6" w:rsidRPr="00545FB1" w:rsidRDefault="00682CE6" w:rsidP="00545FB1">
            <w:pPr>
              <w:spacing w:line="240" w:lineRule="auto"/>
              <w:jc w:val="right"/>
              <w:rPr>
                <w:rFonts w:ascii="Times New Roman" w:eastAsia="Times New Roman" w:hAnsi="Times New Roman" w:cs="Times New Roman"/>
                <w:sz w:val="24"/>
                <w:szCs w:val="24"/>
              </w:rPr>
            </w:pPr>
          </w:p>
          <w:p w14:paraId="149169E1" w14:textId="7801C56B" w:rsidR="00545FB1"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2,168</w:t>
            </w:r>
          </w:p>
        </w:tc>
        <w:tc>
          <w:tcPr>
            <w:tcW w:w="1980" w:type="dxa"/>
          </w:tcPr>
          <w:p w14:paraId="6EAEDCEC" w14:textId="77777777" w:rsidR="00682CE6" w:rsidRDefault="00682CE6" w:rsidP="00545FB1">
            <w:pPr>
              <w:spacing w:line="240" w:lineRule="auto"/>
              <w:jc w:val="right"/>
              <w:rPr>
                <w:rFonts w:ascii="Times New Roman" w:eastAsia="Times New Roman" w:hAnsi="Times New Roman" w:cs="Times New Roman"/>
                <w:sz w:val="24"/>
                <w:szCs w:val="24"/>
              </w:rPr>
            </w:pPr>
          </w:p>
          <w:p w14:paraId="299788F3" w14:textId="3B946719"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1,445</w:t>
            </w:r>
          </w:p>
        </w:tc>
        <w:tc>
          <w:tcPr>
            <w:tcW w:w="1890" w:type="dxa"/>
          </w:tcPr>
          <w:p w14:paraId="356D8C33"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69B21474" w14:textId="77777777" w:rsidR="00682CE6" w:rsidRDefault="00682CE6" w:rsidP="00545FB1">
            <w:pPr>
              <w:spacing w:line="240" w:lineRule="auto"/>
              <w:jc w:val="right"/>
              <w:rPr>
                <w:rFonts w:ascii="Times New Roman" w:eastAsia="Times New Roman" w:hAnsi="Times New Roman" w:cs="Times New Roman"/>
                <w:sz w:val="24"/>
                <w:szCs w:val="24"/>
              </w:rPr>
            </w:pPr>
          </w:p>
          <w:p w14:paraId="46A843AA" w14:textId="7A433FE4"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3,613</w:t>
            </w:r>
          </w:p>
        </w:tc>
      </w:tr>
      <w:tr w:rsidR="00682CE6" w:rsidRPr="00682CE6" w14:paraId="7F17CD49" w14:textId="77777777" w:rsidTr="0075770C">
        <w:tblPrEx>
          <w:tblCellMar>
            <w:top w:w="0" w:type="dxa"/>
            <w:bottom w:w="0" w:type="dxa"/>
          </w:tblCellMar>
        </w:tblPrEx>
        <w:tc>
          <w:tcPr>
            <w:tcW w:w="1548" w:type="dxa"/>
          </w:tcPr>
          <w:p w14:paraId="578591CE"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Temporary or hourly workers</w:t>
            </w:r>
          </w:p>
        </w:tc>
        <w:tc>
          <w:tcPr>
            <w:tcW w:w="1710" w:type="dxa"/>
          </w:tcPr>
          <w:p w14:paraId="34E84B8A" w14:textId="77777777" w:rsidR="00682CE6" w:rsidRPr="00545FB1" w:rsidRDefault="00682CE6" w:rsidP="00545FB1">
            <w:pPr>
              <w:spacing w:line="240" w:lineRule="auto"/>
              <w:jc w:val="right"/>
              <w:rPr>
                <w:rFonts w:ascii="Times New Roman" w:eastAsia="Times New Roman" w:hAnsi="Times New Roman" w:cs="Times New Roman"/>
                <w:sz w:val="24"/>
                <w:szCs w:val="24"/>
              </w:rPr>
            </w:pPr>
          </w:p>
          <w:p w14:paraId="3A378200" w14:textId="4EA6ADF2" w:rsidR="00545FB1"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0</w:t>
            </w:r>
          </w:p>
        </w:tc>
        <w:tc>
          <w:tcPr>
            <w:tcW w:w="1980" w:type="dxa"/>
          </w:tcPr>
          <w:p w14:paraId="15EA36D5" w14:textId="77777777" w:rsidR="00682CE6" w:rsidRDefault="00682CE6" w:rsidP="00545FB1">
            <w:pPr>
              <w:spacing w:line="240" w:lineRule="auto"/>
              <w:jc w:val="right"/>
              <w:rPr>
                <w:rFonts w:ascii="Times New Roman" w:eastAsia="Times New Roman" w:hAnsi="Times New Roman" w:cs="Times New Roman"/>
                <w:sz w:val="24"/>
                <w:szCs w:val="24"/>
              </w:rPr>
            </w:pPr>
          </w:p>
          <w:p w14:paraId="7E82FEA1" w14:textId="5546550E"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90" w:type="dxa"/>
          </w:tcPr>
          <w:p w14:paraId="026F7561"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217A73BA" w14:textId="77777777" w:rsidR="00682CE6" w:rsidRDefault="00682CE6" w:rsidP="00545FB1">
            <w:pPr>
              <w:spacing w:line="240" w:lineRule="auto"/>
              <w:jc w:val="right"/>
              <w:rPr>
                <w:rFonts w:ascii="Times New Roman" w:eastAsia="Times New Roman" w:hAnsi="Times New Roman" w:cs="Times New Roman"/>
                <w:sz w:val="24"/>
                <w:szCs w:val="24"/>
              </w:rPr>
            </w:pPr>
          </w:p>
          <w:p w14:paraId="08F6CCB4" w14:textId="71B6655C"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82CE6" w:rsidRPr="00682CE6" w14:paraId="1DD320EE" w14:textId="77777777" w:rsidTr="0075770C">
        <w:tblPrEx>
          <w:tblCellMar>
            <w:top w:w="0" w:type="dxa"/>
            <w:bottom w:w="0" w:type="dxa"/>
          </w:tblCellMar>
        </w:tblPrEx>
        <w:tc>
          <w:tcPr>
            <w:tcW w:w="1548" w:type="dxa"/>
          </w:tcPr>
          <w:p w14:paraId="4F2B6DAF"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Travel</w:t>
            </w:r>
            <w:r w:rsidRPr="00682CE6">
              <w:rPr>
                <w:rFonts w:ascii="Times New Roman" w:eastAsia="Times New Roman" w:hAnsi="Times New Roman" w:cs="Times New Roman"/>
                <w:sz w:val="24"/>
                <w:szCs w:val="24"/>
                <w:vertAlign w:val="superscript"/>
              </w:rPr>
              <w:t>2</w:t>
            </w:r>
          </w:p>
        </w:tc>
        <w:tc>
          <w:tcPr>
            <w:tcW w:w="1710" w:type="dxa"/>
          </w:tcPr>
          <w:p w14:paraId="501BAD29" w14:textId="088C02D1" w:rsidR="00682CE6"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375</w:t>
            </w:r>
          </w:p>
        </w:tc>
        <w:tc>
          <w:tcPr>
            <w:tcW w:w="1980" w:type="dxa"/>
          </w:tcPr>
          <w:p w14:paraId="50CEEEE3" w14:textId="75E1B55E"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90" w:type="dxa"/>
          </w:tcPr>
          <w:p w14:paraId="2DAF5102"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39C38BB3" w14:textId="5E3A7A8C"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r>
      <w:tr w:rsidR="00682CE6" w:rsidRPr="00682CE6" w14:paraId="29971A60" w14:textId="77777777" w:rsidTr="0075770C">
        <w:tblPrEx>
          <w:tblCellMar>
            <w:top w:w="0" w:type="dxa"/>
            <w:bottom w:w="0" w:type="dxa"/>
          </w:tblCellMar>
        </w:tblPrEx>
        <w:tc>
          <w:tcPr>
            <w:tcW w:w="1548" w:type="dxa"/>
          </w:tcPr>
          <w:p w14:paraId="47A30834"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USA Hop Convention Registration</w:t>
            </w:r>
          </w:p>
        </w:tc>
        <w:tc>
          <w:tcPr>
            <w:tcW w:w="1710" w:type="dxa"/>
          </w:tcPr>
          <w:p w14:paraId="16FA24AB" w14:textId="77777777" w:rsidR="00682CE6" w:rsidRPr="00545FB1" w:rsidRDefault="00682CE6" w:rsidP="00545FB1">
            <w:pPr>
              <w:spacing w:line="240" w:lineRule="auto"/>
              <w:jc w:val="right"/>
              <w:rPr>
                <w:rFonts w:ascii="Times New Roman" w:eastAsia="Times New Roman" w:hAnsi="Times New Roman" w:cs="Times New Roman"/>
                <w:sz w:val="24"/>
                <w:szCs w:val="24"/>
              </w:rPr>
            </w:pPr>
          </w:p>
          <w:p w14:paraId="3AB571C1" w14:textId="77777777" w:rsidR="00545FB1" w:rsidRPr="00545FB1" w:rsidRDefault="00545FB1" w:rsidP="00545FB1">
            <w:pPr>
              <w:spacing w:line="240" w:lineRule="auto"/>
              <w:jc w:val="right"/>
              <w:rPr>
                <w:rFonts w:ascii="Times New Roman" w:eastAsia="Times New Roman" w:hAnsi="Times New Roman" w:cs="Times New Roman"/>
                <w:sz w:val="24"/>
                <w:szCs w:val="24"/>
              </w:rPr>
            </w:pPr>
          </w:p>
          <w:p w14:paraId="547E8024" w14:textId="5DD9DB58" w:rsidR="00545FB1"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0</w:t>
            </w:r>
          </w:p>
        </w:tc>
        <w:tc>
          <w:tcPr>
            <w:tcW w:w="1980" w:type="dxa"/>
          </w:tcPr>
          <w:p w14:paraId="34F66A7A" w14:textId="77777777" w:rsidR="00682CE6" w:rsidRDefault="00682CE6" w:rsidP="00545FB1">
            <w:pPr>
              <w:spacing w:line="240" w:lineRule="auto"/>
              <w:jc w:val="right"/>
              <w:rPr>
                <w:rFonts w:ascii="Times New Roman" w:eastAsia="Times New Roman" w:hAnsi="Times New Roman" w:cs="Times New Roman"/>
                <w:sz w:val="24"/>
                <w:szCs w:val="24"/>
              </w:rPr>
            </w:pPr>
          </w:p>
          <w:p w14:paraId="2C578880" w14:textId="77777777" w:rsidR="00545FB1" w:rsidRDefault="00545FB1" w:rsidP="00545FB1">
            <w:pPr>
              <w:spacing w:line="240" w:lineRule="auto"/>
              <w:jc w:val="right"/>
              <w:rPr>
                <w:rFonts w:ascii="Times New Roman" w:eastAsia="Times New Roman" w:hAnsi="Times New Roman" w:cs="Times New Roman"/>
                <w:sz w:val="24"/>
                <w:szCs w:val="24"/>
              </w:rPr>
            </w:pPr>
          </w:p>
          <w:p w14:paraId="1406C956" w14:textId="351C5477"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90" w:type="dxa"/>
          </w:tcPr>
          <w:p w14:paraId="63669D11"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2E719E53" w14:textId="77777777" w:rsidR="00682CE6" w:rsidRDefault="00682CE6" w:rsidP="00545FB1">
            <w:pPr>
              <w:spacing w:line="240" w:lineRule="auto"/>
              <w:jc w:val="right"/>
              <w:rPr>
                <w:rFonts w:ascii="Times New Roman" w:eastAsia="Times New Roman" w:hAnsi="Times New Roman" w:cs="Times New Roman"/>
                <w:sz w:val="24"/>
                <w:szCs w:val="24"/>
              </w:rPr>
            </w:pPr>
          </w:p>
          <w:p w14:paraId="6C19B737" w14:textId="77777777" w:rsidR="00545FB1" w:rsidRDefault="00545FB1" w:rsidP="00545FB1">
            <w:pPr>
              <w:spacing w:line="240" w:lineRule="auto"/>
              <w:jc w:val="right"/>
              <w:rPr>
                <w:rFonts w:ascii="Times New Roman" w:eastAsia="Times New Roman" w:hAnsi="Times New Roman" w:cs="Times New Roman"/>
                <w:sz w:val="24"/>
                <w:szCs w:val="24"/>
              </w:rPr>
            </w:pPr>
          </w:p>
          <w:p w14:paraId="72A4712F" w14:textId="3196A447"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82CE6" w:rsidRPr="00682CE6" w14:paraId="6EDC5E7C" w14:textId="77777777" w:rsidTr="0075770C">
        <w:tblPrEx>
          <w:tblCellMar>
            <w:top w:w="0" w:type="dxa"/>
            <w:bottom w:w="0" w:type="dxa"/>
          </w:tblCellMar>
        </w:tblPrEx>
        <w:tc>
          <w:tcPr>
            <w:tcW w:w="1548" w:type="dxa"/>
          </w:tcPr>
          <w:p w14:paraId="24DBA9EC"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Equipment</w:t>
            </w:r>
          </w:p>
        </w:tc>
        <w:tc>
          <w:tcPr>
            <w:tcW w:w="1710" w:type="dxa"/>
          </w:tcPr>
          <w:p w14:paraId="1A127C6F"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1980" w:type="dxa"/>
          </w:tcPr>
          <w:p w14:paraId="523C5C8E"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1890" w:type="dxa"/>
          </w:tcPr>
          <w:p w14:paraId="70B79032"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4D23BB7C"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r>
      <w:tr w:rsidR="00682CE6" w:rsidRPr="00682CE6" w14:paraId="2F5F7BA2" w14:textId="77777777" w:rsidTr="0075770C">
        <w:tblPrEx>
          <w:tblCellMar>
            <w:top w:w="0" w:type="dxa"/>
            <w:bottom w:w="0" w:type="dxa"/>
          </w:tblCellMar>
        </w:tblPrEx>
        <w:tc>
          <w:tcPr>
            <w:tcW w:w="1548" w:type="dxa"/>
          </w:tcPr>
          <w:p w14:paraId="0EF98225" w14:textId="77777777" w:rsidR="00682CE6" w:rsidRPr="00545FB1" w:rsidRDefault="00545FB1" w:rsidP="00682CE6">
            <w:pPr>
              <w:spacing w:line="240" w:lineRule="auto"/>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Maintenance chemicals</w:t>
            </w:r>
          </w:p>
          <w:p w14:paraId="7FBB2A60" w14:textId="7C8104E2" w:rsidR="00545FB1" w:rsidRPr="00682CE6" w:rsidRDefault="00545FB1" w:rsidP="00682CE6">
            <w:pPr>
              <w:spacing w:line="240" w:lineRule="auto"/>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Land Charges</w:t>
            </w:r>
            <w:r w:rsidR="00297A56" w:rsidRPr="00297A56">
              <w:rPr>
                <w:rFonts w:ascii="Times New Roman" w:eastAsia="Times New Roman" w:hAnsi="Times New Roman" w:cs="Times New Roman"/>
                <w:sz w:val="24"/>
                <w:szCs w:val="24"/>
                <w:vertAlign w:val="superscript"/>
              </w:rPr>
              <w:t xml:space="preserve">3 </w:t>
            </w:r>
          </w:p>
        </w:tc>
        <w:tc>
          <w:tcPr>
            <w:tcW w:w="1710" w:type="dxa"/>
          </w:tcPr>
          <w:p w14:paraId="5A0AFCA8" w14:textId="77777777" w:rsidR="00682CE6" w:rsidRPr="00545FB1" w:rsidRDefault="00682CE6" w:rsidP="00545FB1">
            <w:pPr>
              <w:spacing w:line="240" w:lineRule="auto"/>
              <w:jc w:val="right"/>
              <w:rPr>
                <w:rFonts w:ascii="Times New Roman" w:eastAsia="Times New Roman" w:hAnsi="Times New Roman" w:cs="Times New Roman"/>
                <w:sz w:val="24"/>
                <w:szCs w:val="24"/>
              </w:rPr>
            </w:pPr>
          </w:p>
          <w:p w14:paraId="340C0E5B" w14:textId="77777777" w:rsidR="00545FB1" w:rsidRPr="00545FB1"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1,070</w:t>
            </w:r>
          </w:p>
          <w:p w14:paraId="57E2AF09" w14:textId="77777777" w:rsidR="00545FB1" w:rsidRDefault="00545FB1" w:rsidP="00545FB1">
            <w:pPr>
              <w:spacing w:line="240" w:lineRule="auto"/>
              <w:jc w:val="right"/>
              <w:rPr>
                <w:rFonts w:ascii="Times New Roman" w:eastAsia="Times New Roman" w:hAnsi="Times New Roman" w:cs="Times New Roman"/>
                <w:sz w:val="24"/>
                <w:szCs w:val="24"/>
              </w:rPr>
            </w:pPr>
          </w:p>
          <w:p w14:paraId="4A55AA66" w14:textId="7363D4AC" w:rsidR="00545FB1"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360</w:t>
            </w:r>
          </w:p>
        </w:tc>
        <w:tc>
          <w:tcPr>
            <w:tcW w:w="1980" w:type="dxa"/>
          </w:tcPr>
          <w:p w14:paraId="4DB01CDB" w14:textId="77777777" w:rsidR="00682CE6" w:rsidRDefault="00682CE6" w:rsidP="00545FB1">
            <w:pPr>
              <w:spacing w:line="240" w:lineRule="auto"/>
              <w:jc w:val="right"/>
              <w:rPr>
                <w:rFonts w:ascii="Times New Roman" w:eastAsia="Times New Roman" w:hAnsi="Times New Roman" w:cs="Times New Roman"/>
                <w:sz w:val="24"/>
                <w:szCs w:val="24"/>
              </w:rPr>
            </w:pPr>
          </w:p>
          <w:p w14:paraId="5EED8DAC" w14:textId="77777777" w:rsidR="00545FB1"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p w14:paraId="7C60BF25" w14:textId="77777777" w:rsidR="00545FB1" w:rsidRDefault="00545FB1" w:rsidP="00545FB1">
            <w:pPr>
              <w:spacing w:line="240" w:lineRule="auto"/>
              <w:jc w:val="right"/>
              <w:rPr>
                <w:rFonts w:ascii="Times New Roman" w:eastAsia="Times New Roman" w:hAnsi="Times New Roman" w:cs="Times New Roman"/>
                <w:sz w:val="24"/>
                <w:szCs w:val="24"/>
              </w:rPr>
            </w:pPr>
          </w:p>
          <w:p w14:paraId="5376D8E8" w14:textId="2E61E37B"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890" w:type="dxa"/>
          </w:tcPr>
          <w:p w14:paraId="116C0B8F"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72373E47" w14:textId="77777777" w:rsidR="00682CE6" w:rsidRDefault="00682CE6" w:rsidP="00545FB1">
            <w:pPr>
              <w:spacing w:line="240" w:lineRule="auto"/>
              <w:jc w:val="right"/>
              <w:rPr>
                <w:rFonts w:ascii="Times New Roman" w:eastAsia="Times New Roman" w:hAnsi="Times New Roman" w:cs="Times New Roman"/>
                <w:sz w:val="24"/>
                <w:szCs w:val="24"/>
              </w:rPr>
            </w:pPr>
          </w:p>
          <w:p w14:paraId="5BF39333" w14:textId="77777777" w:rsidR="00545FB1"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1,784</w:t>
            </w:r>
          </w:p>
          <w:p w14:paraId="316D3D25" w14:textId="77777777" w:rsidR="00545FB1" w:rsidRDefault="00545FB1" w:rsidP="00545FB1">
            <w:pPr>
              <w:spacing w:line="240" w:lineRule="auto"/>
              <w:jc w:val="right"/>
              <w:rPr>
                <w:rFonts w:ascii="Times New Roman" w:eastAsia="Times New Roman" w:hAnsi="Times New Roman" w:cs="Times New Roman"/>
                <w:sz w:val="24"/>
                <w:szCs w:val="24"/>
              </w:rPr>
            </w:pPr>
          </w:p>
          <w:p w14:paraId="7904272A" w14:textId="3A8E6B68" w:rsidR="00545FB1"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682CE6" w:rsidRPr="00682CE6" w14:paraId="112A4EBA" w14:textId="77777777" w:rsidTr="0075770C">
        <w:tblPrEx>
          <w:tblCellMar>
            <w:top w:w="0" w:type="dxa"/>
            <w:bottom w:w="0" w:type="dxa"/>
          </w:tblCellMar>
        </w:tblPrEx>
        <w:tc>
          <w:tcPr>
            <w:tcW w:w="1548" w:type="dxa"/>
          </w:tcPr>
          <w:p w14:paraId="7D16B59D" w14:textId="77777777" w:rsidR="00682CE6" w:rsidRPr="00682CE6" w:rsidRDefault="00682CE6" w:rsidP="00682CE6">
            <w:pPr>
              <w:spacing w:line="240" w:lineRule="auto"/>
              <w:rPr>
                <w:rFonts w:ascii="Times New Roman" w:eastAsia="Times New Roman" w:hAnsi="Times New Roman" w:cs="Times New Roman"/>
                <w:sz w:val="24"/>
                <w:szCs w:val="24"/>
              </w:rPr>
            </w:pPr>
            <w:r w:rsidRPr="00682CE6">
              <w:rPr>
                <w:rFonts w:ascii="Times New Roman" w:eastAsia="Times New Roman" w:hAnsi="Times New Roman" w:cs="Times New Roman"/>
                <w:sz w:val="24"/>
                <w:szCs w:val="24"/>
              </w:rPr>
              <w:t>Total</w:t>
            </w:r>
          </w:p>
        </w:tc>
        <w:tc>
          <w:tcPr>
            <w:tcW w:w="1710" w:type="dxa"/>
          </w:tcPr>
          <w:p w14:paraId="6B4237FA" w14:textId="456F2759" w:rsidR="00682CE6" w:rsidRPr="00682CE6" w:rsidRDefault="00545FB1" w:rsidP="00545FB1">
            <w:pPr>
              <w:spacing w:line="240" w:lineRule="auto"/>
              <w:jc w:val="right"/>
              <w:rPr>
                <w:rFonts w:ascii="Times New Roman" w:eastAsia="Times New Roman" w:hAnsi="Times New Roman" w:cs="Times New Roman"/>
                <w:sz w:val="24"/>
                <w:szCs w:val="24"/>
              </w:rPr>
            </w:pPr>
            <w:r w:rsidRPr="00545FB1">
              <w:rPr>
                <w:rFonts w:ascii="Times New Roman" w:eastAsia="Times New Roman" w:hAnsi="Times New Roman" w:cs="Times New Roman"/>
                <w:sz w:val="24"/>
                <w:szCs w:val="24"/>
              </w:rPr>
              <w:t>9,000</w:t>
            </w:r>
          </w:p>
        </w:tc>
        <w:tc>
          <w:tcPr>
            <w:tcW w:w="1980" w:type="dxa"/>
          </w:tcPr>
          <w:p w14:paraId="666A5A0B" w14:textId="5BF4ADCE"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890" w:type="dxa"/>
          </w:tcPr>
          <w:p w14:paraId="190D4B50" w14:textId="77777777" w:rsidR="00682CE6" w:rsidRPr="00682CE6" w:rsidRDefault="00682CE6" w:rsidP="00545FB1">
            <w:pPr>
              <w:spacing w:line="240" w:lineRule="auto"/>
              <w:jc w:val="right"/>
              <w:rPr>
                <w:rFonts w:ascii="Times New Roman" w:eastAsia="Times New Roman" w:hAnsi="Times New Roman" w:cs="Times New Roman"/>
                <w:sz w:val="24"/>
                <w:szCs w:val="24"/>
              </w:rPr>
            </w:pPr>
          </w:p>
        </w:tc>
        <w:tc>
          <w:tcPr>
            <w:tcW w:w="2662" w:type="dxa"/>
          </w:tcPr>
          <w:p w14:paraId="2E0F0472" w14:textId="45A7FFB5" w:rsidR="00682CE6" w:rsidRPr="00682CE6" w:rsidRDefault="00545FB1" w:rsidP="00545F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bl>
    <w:p w14:paraId="71B0D931" w14:textId="4156CD9E" w:rsidR="00682CE6" w:rsidRPr="00545FB1" w:rsidRDefault="00545FB1" w:rsidP="00A14509">
      <w:pPr>
        <w:rPr>
          <w:rFonts w:ascii="Times New Roman" w:hAnsi="Times New Roman" w:cs="Times New Roman"/>
          <w:sz w:val="20"/>
          <w:szCs w:val="20"/>
        </w:rPr>
      </w:pPr>
      <w:r w:rsidRPr="00297A56">
        <w:rPr>
          <w:rFonts w:ascii="Times New Roman" w:hAnsi="Times New Roman" w:cs="Times New Roman"/>
          <w:sz w:val="20"/>
          <w:szCs w:val="20"/>
          <w:vertAlign w:val="superscript"/>
        </w:rPr>
        <w:t>1/</w:t>
      </w:r>
      <w:r w:rsidRPr="00545FB1">
        <w:rPr>
          <w:rFonts w:ascii="Times New Roman" w:hAnsi="Times New Roman" w:cs="Times New Roman"/>
          <w:sz w:val="20"/>
          <w:szCs w:val="20"/>
        </w:rPr>
        <w:t xml:space="preserve"> Research Assoc Dan Groenendale 0.05 FTE for 12 months plus benefits @ 36.1%</w:t>
      </w:r>
    </w:p>
    <w:p w14:paraId="3A1B0482" w14:textId="34450B9B" w:rsidR="00545FB1" w:rsidRDefault="00545FB1" w:rsidP="00A14509">
      <w:pPr>
        <w:rPr>
          <w:rFonts w:ascii="Times New Roman" w:hAnsi="Times New Roman" w:cs="Times New Roman"/>
          <w:sz w:val="20"/>
          <w:szCs w:val="20"/>
        </w:rPr>
      </w:pPr>
      <w:r w:rsidRPr="00545FB1">
        <w:rPr>
          <w:rFonts w:ascii="Times New Roman" w:hAnsi="Times New Roman" w:cs="Times New Roman"/>
          <w:sz w:val="20"/>
          <w:szCs w:val="20"/>
        </w:rPr>
        <w:t xml:space="preserve">    Farmer 2 Antonio Moreno 0.10 FTE</w:t>
      </w:r>
      <w:r>
        <w:rPr>
          <w:rFonts w:ascii="Times New Roman" w:hAnsi="Times New Roman" w:cs="Times New Roman"/>
          <w:sz w:val="20"/>
          <w:szCs w:val="20"/>
        </w:rPr>
        <w:t xml:space="preserve"> for 12 moths plus benefits @ </w:t>
      </w:r>
      <w:r w:rsidR="00297A56">
        <w:rPr>
          <w:rFonts w:ascii="Times New Roman" w:hAnsi="Times New Roman" w:cs="Times New Roman"/>
          <w:sz w:val="20"/>
          <w:szCs w:val="20"/>
        </w:rPr>
        <w:t>49.2%</w:t>
      </w:r>
    </w:p>
    <w:p w14:paraId="57DAFB2B" w14:textId="742C59F1" w:rsidR="00297A56" w:rsidRDefault="00297A56" w:rsidP="00A14509">
      <w:pPr>
        <w:rPr>
          <w:rFonts w:ascii="Times New Roman" w:hAnsi="Times New Roman" w:cs="Times New Roman"/>
          <w:sz w:val="20"/>
          <w:szCs w:val="20"/>
        </w:rPr>
      </w:pPr>
      <w:r w:rsidRPr="00297A56">
        <w:rPr>
          <w:rFonts w:ascii="Times New Roman" w:hAnsi="Times New Roman" w:cs="Times New Roman"/>
          <w:sz w:val="20"/>
          <w:szCs w:val="20"/>
          <w:vertAlign w:val="superscript"/>
        </w:rPr>
        <w:t>2/</w:t>
      </w:r>
      <w:r>
        <w:rPr>
          <w:rFonts w:ascii="Times New Roman" w:hAnsi="Times New Roman" w:cs="Times New Roman"/>
          <w:sz w:val="20"/>
          <w:szCs w:val="20"/>
        </w:rPr>
        <w:t xml:space="preserve"> 1,000 project miles @ $0.625/ mile</w:t>
      </w:r>
    </w:p>
    <w:p w14:paraId="648375AC" w14:textId="4178F2CB" w:rsidR="00297A56" w:rsidRPr="00545FB1" w:rsidRDefault="00297A56" w:rsidP="00A14509">
      <w:pPr>
        <w:rPr>
          <w:rFonts w:ascii="Times New Roman" w:hAnsi="Times New Roman" w:cs="Times New Roman"/>
          <w:sz w:val="20"/>
          <w:szCs w:val="20"/>
        </w:rPr>
      </w:pPr>
      <w:r w:rsidRPr="00297A56">
        <w:rPr>
          <w:rFonts w:ascii="Times New Roman" w:hAnsi="Times New Roman" w:cs="Times New Roman"/>
          <w:sz w:val="20"/>
          <w:szCs w:val="20"/>
          <w:vertAlign w:val="superscript"/>
        </w:rPr>
        <w:t>3/</w:t>
      </w:r>
      <w:r>
        <w:rPr>
          <w:rFonts w:ascii="Times New Roman" w:hAnsi="Times New Roman" w:cs="Times New Roman"/>
          <w:sz w:val="20"/>
          <w:szCs w:val="20"/>
        </w:rPr>
        <w:t xml:space="preserve"> Land charges 1 acre @ $600 per acre</w:t>
      </w:r>
    </w:p>
    <w:p w14:paraId="50655989" w14:textId="77777777" w:rsidR="00545FB1" w:rsidRPr="00545FB1" w:rsidRDefault="00545FB1" w:rsidP="00A14509">
      <w:pPr>
        <w:rPr>
          <w:rFonts w:ascii="Times New Roman" w:hAnsi="Times New Roman" w:cs="Times New Roman"/>
          <w:sz w:val="24"/>
          <w:szCs w:val="24"/>
        </w:rPr>
      </w:pPr>
    </w:p>
    <w:p w14:paraId="5AC38024" w14:textId="26A7F58D" w:rsidR="00EB74E4" w:rsidRPr="00EB74E4" w:rsidRDefault="00EB74E4" w:rsidP="00EB74E4">
      <w:pPr>
        <w:pStyle w:val="manualcc"/>
        <w:ind w:left="180" w:hanging="180"/>
        <w:rPr>
          <w:rFonts w:ascii="Times New Roman" w:hAnsi="Times New Roman"/>
          <w:sz w:val="24"/>
          <w:szCs w:val="24"/>
        </w:rPr>
      </w:pPr>
      <w:r w:rsidRPr="00EB74E4">
        <w:rPr>
          <w:rFonts w:ascii="Times New Roman" w:hAnsi="Times New Roman"/>
          <w:b/>
          <w:sz w:val="24"/>
          <w:szCs w:val="24"/>
        </w:rPr>
        <w:t>Other Funding Sources and Support</w:t>
      </w:r>
      <w:r>
        <w:rPr>
          <w:rFonts w:ascii="Times New Roman" w:hAnsi="Times New Roman"/>
          <w:b/>
          <w:sz w:val="24"/>
          <w:szCs w:val="24"/>
        </w:rPr>
        <w:t>:</w:t>
      </w:r>
    </w:p>
    <w:p w14:paraId="60810074" w14:textId="3F58F50B" w:rsidR="00EB74E4" w:rsidRPr="00EB74E4" w:rsidRDefault="00EB74E4" w:rsidP="00A14509">
      <w:pPr>
        <w:rPr>
          <w:rFonts w:ascii="Times New Roman" w:hAnsi="Times New Roman" w:cs="Times New Roman"/>
          <w:sz w:val="24"/>
          <w:szCs w:val="24"/>
        </w:rPr>
      </w:pPr>
      <w:r>
        <w:rPr>
          <w:rFonts w:ascii="Times New Roman" w:hAnsi="Times New Roman" w:cs="Times New Roman"/>
          <w:sz w:val="24"/>
          <w:szCs w:val="24"/>
        </w:rPr>
        <w:t xml:space="preserve">This project is under consideration for funding by the IR-4 Integrated Solutions program. BASF has also agreed to partially fund this project up to 50%. More clarity on this situation should be available on budget requirement by the WA Hop Commission October preliminary funding meeting and by when Research proposals are due to the HRC on October 20, 2022. </w:t>
      </w:r>
    </w:p>
    <w:sectPr w:rsidR="00EB74E4" w:rsidRPr="00EB7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FA"/>
    <w:rsid w:val="00255558"/>
    <w:rsid w:val="00297A56"/>
    <w:rsid w:val="002D3F82"/>
    <w:rsid w:val="00335FDA"/>
    <w:rsid w:val="004C497D"/>
    <w:rsid w:val="00545FB1"/>
    <w:rsid w:val="005548F2"/>
    <w:rsid w:val="005F62DD"/>
    <w:rsid w:val="00682CE6"/>
    <w:rsid w:val="0078640A"/>
    <w:rsid w:val="007C752B"/>
    <w:rsid w:val="00800721"/>
    <w:rsid w:val="00A14509"/>
    <w:rsid w:val="00EA2345"/>
    <w:rsid w:val="00EB40FA"/>
    <w:rsid w:val="00EB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8B4"/>
  <w15:chartTrackingRefBased/>
  <w15:docId w15:val="{BC9BCAA0-D934-4AE7-8B95-CA44EBE7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c">
    <w:name w:val="manualcc"/>
    <w:basedOn w:val="Normal"/>
    <w:rsid w:val="00EB74E4"/>
    <w:pPr>
      <w:spacing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Doug</dc:creator>
  <cp:keywords/>
  <dc:description/>
  <cp:lastModifiedBy>Walsh, Doug</cp:lastModifiedBy>
  <cp:revision>6</cp:revision>
  <dcterms:created xsi:type="dcterms:W3CDTF">2022-08-29T15:50:00Z</dcterms:created>
  <dcterms:modified xsi:type="dcterms:W3CDTF">2022-08-30T19:55:00Z</dcterms:modified>
</cp:coreProperties>
</file>