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1B89" w14:textId="64E785F7" w:rsidR="008B4415" w:rsidRDefault="008B4415" w:rsidP="008B4415">
      <w:pPr>
        <w:spacing w:after="0"/>
        <w:rPr>
          <w:rFonts w:ascii="Times New Roman" w:hAnsi="Times New Roman" w:cs="Times New Roman"/>
          <w:b/>
          <w:sz w:val="24"/>
          <w:szCs w:val="24"/>
        </w:rPr>
      </w:pPr>
      <w:r>
        <w:rPr>
          <w:rFonts w:ascii="Times New Roman" w:hAnsi="Times New Roman" w:cs="Times New Roman"/>
          <w:b/>
          <w:sz w:val="24"/>
          <w:szCs w:val="24"/>
        </w:rPr>
        <w:t xml:space="preserve">Project Title: </w:t>
      </w:r>
      <w:r w:rsidRPr="00B2102E">
        <w:rPr>
          <w:rFonts w:ascii="Times New Roman" w:hAnsi="Times New Roman" w:cs="Times New Roman"/>
          <w:b/>
          <w:sz w:val="24"/>
          <w:szCs w:val="24"/>
        </w:rPr>
        <w:t xml:space="preserve">Integrated Management of </w:t>
      </w:r>
      <w:r w:rsidR="000271D2">
        <w:rPr>
          <w:rFonts w:ascii="Times New Roman" w:hAnsi="Times New Roman" w:cs="Times New Roman"/>
          <w:b/>
          <w:sz w:val="24"/>
          <w:szCs w:val="24"/>
        </w:rPr>
        <w:t>Secondary Pests</w:t>
      </w:r>
      <w:r w:rsidRPr="00B2102E">
        <w:rPr>
          <w:rFonts w:ascii="Times New Roman" w:hAnsi="Times New Roman" w:cs="Times New Roman"/>
          <w:b/>
          <w:sz w:val="24"/>
          <w:szCs w:val="24"/>
        </w:rPr>
        <w:t xml:space="preserve"> </w:t>
      </w:r>
      <w:r w:rsidR="003F3E5C">
        <w:rPr>
          <w:rFonts w:ascii="Times New Roman" w:hAnsi="Times New Roman" w:cs="Times New Roman"/>
          <w:b/>
          <w:sz w:val="24"/>
          <w:szCs w:val="24"/>
        </w:rPr>
        <w:t>on H</w:t>
      </w:r>
      <w:r w:rsidR="00B169A6">
        <w:rPr>
          <w:rFonts w:ascii="Times New Roman" w:hAnsi="Times New Roman" w:cs="Times New Roman"/>
          <w:b/>
          <w:sz w:val="24"/>
          <w:szCs w:val="24"/>
        </w:rPr>
        <w:t xml:space="preserve">ops </w:t>
      </w:r>
      <w:r w:rsidR="00020A4F">
        <w:rPr>
          <w:rFonts w:ascii="Times New Roman" w:hAnsi="Times New Roman" w:cs="Times New Roman"/>
          <w:b/>
          <w:sz w:val="24"/>
          <w:szCs w:val="24"/>
        </w:rPr>
        <w:t>202</w:t>
      </w:r>
      <w:r w:rsidR="00E96913">
        <w:rPr>
          <w:rFonts w:ascii="Times New Roman" w:hAnsi="Times New Roman" w:cs="Times New Roman"/>
          <w:b/>
          <w:sz w:val="24"/>
          <w:szCs w:val="24"/>
        </w:rPr>
        <w:t>2</w:t>
      </w:r>
    </w:p>
    <w:p w14:paraId="09672D04" w14:textId="77777777" w:rsidR="008B4415" w:rsidRDefault="008B4415" w:rsidP="008B4415">
      <w:pPr>
        <w:spacing w:after="0"/>
        <w:rPr>
          <w:rFonts w:ascii="Times New Roman" w:hAnsi="Times New Roman" w:cs="Times New Roman"/>
          <w:b/>
          <w:sz w:val="24"/>
          <w:szCs w:val="24"/>
        </w:rPr>
      </w:pPr>
    </w:p>
    <w:p w14:paraId="218986D2" w14:textId="77777777" w:rsidR="00A16DAC" w:rsidRDefault="008B4415" w:rsidP="00A16DAC">
      <w:pPr>
        <w:spacing w:after="0"/>
        <w:rPr>
          <w:rFonts w:ascii="Times New Roman" w:hAnsi="Times New Roman" w:cs="Times New Roman"/>
          <w:sz w:val="24"/>
          <w:szCs w:val="24"/>
        </w:rPr>
      </w:pPr>
      <w:r>
        <w:rPr>
          <w:rFonts w:ascii="Times New Roman" w:hAnsi="Times New Roman" w:cs="Times New Roman"/>
          <w:b/>
          <w:sz w:val="24"/>
          <w:szCs w:val="24"/>
        </w:rPr>
        <w:t xml:space="preserve">Project Summary: </w:t>
      </w:r>
      <w:r w:rsidR="00A16DAC" w:rsidRPr="008C2B20">
        <w:rPr>
          <w:rFonts w:ascii="Times New Roman" w:hAnsi="Times New Roman" w:cs="Times New Roman"/>
          <w:sz w:val="24"/>
          <w:szCs w:val="24"/>
        </w:rPr>
        <w:t xml:space="preserve">Beyond </w:t>
      </w:r>
      <w:r w:rsidR="00A16DAC">
        <w:rPr>
          <w:rFonts w:ascii="Times New Roman" w:hAnsi="Times New Roman" w:cs="Times New Roman"/>
          <w:sz w:val="24"/>
          <w:szCs w:val="24"/>
        </w:rPr>
        <w:t xml:space="preserve">the key arthropod pest of hops, </w:t>
      </w:r>
      <w:r w:rsidR="00A16DAC" w:rsidRPr="008C2B20">
        <w:rPr>
          <w:rFonts w:ascii="Times New Roman" w:hAnsi="Times New Roman" w:cs="Times New Roman"/>
          <w:sz w:val="24"/>
          <w:szCs w:val="24"/>
        </w:rPr>
        <w:t xml:space="preserve">spider mites, </w:t>
      </w:r>
      <w:r w:rsidR="00A16DAC">
        <w:rPr>
          <w:rFonts w:ascii="Times New Roman" w:hAnsi="Times New Roman" w:cs="Times New Roman"/>
          <w:sz w:val="24"/>
          <w:szCs w:val="24"/>
        </w:rPr>
        <w:t xml:space="preserve">which are addressed in detail in a separate proposal, </w:t>
      </w:r>
      <w:r w:rsidR="00A16DAC" w:rsidRPr="008C2B20">
        <w:rPr>
          <w:rFonts w:ascii="Times New Roman" w:hAnsi="Times New Roman" w:cs="Times New Roman"/>
          <w:sz w:val="24"/>
          <w:szCs w:val="24"/>
        </w:rPr>
        <w:t>hops are plagued with a number of other</w:t>
      </w:r>
      <w:r w:rsidR="00A16DAC">
        <w:rPr>
          <w:rFonts w:ascii="Times New Roman" w:hAnsi="Times New Roman" w:cs="Times New Roman"/>
          <w:b/>
          <w:sz w:val="24"/>
          <w:szCs w:val="24"/>
        </w:rPr>
        <w:t xml:space="preserve"> </w:t>
      </w:r>
      <w:r w:rsidR="00A16DAC">
        <w:rPr>
          <w:rFonts w:ascii="Times New Roman" w:hAnsi="Times New Roman" w:cs="Times New Roman"/>
          <w:sz w:val="24"/>
          <w:szCs w:val="24"/>
        </w:rPr>
        <w:t xml:space="preserve">direct and indirect arthropod pests. These include hop aphids and several caterpillars including the common grey, hop looper, and increasingly oblique banded leafroller. In this proposal we detail specific experiments we plan to improve management of several pests of hops in a biorational way. We will evaluate candidate insecticides for aphid control and quantify any adverse effects these insecticides have on the bioregulation of aphids and outbreak of spider mites. We also plan to screen cyantraniliprole, spinetoram, spinosad, and chlorantraniliprole for control of hop looper and other caterpillar pests as a replacement for bifenthrin and other disruptive insecticides. We will also continue to test the safety of candidate pesticides for their effects on essential predatory mites. </w:t>
      </w:r>
    </w:p>
    <w:p w14:paraId="3405EA66" w14:textId="77777777" w:rsidR="00A16DAC" w:rsidRDefault="00A16DAC" w:rsidP="00A16DAC">
      <w:pPr>
        <w:spacing w:after="0"/>
        <w:rPr>
          <w:rFonts w:ascii="Times New Roman" w:hAnsi="Times New Roman" w:cs="Times New Roman"/>
          <w:sz w:val="24"/>
          <w:szCs w:val="24"/>
        </w:rPr>
      </w:pPr>
    </w:p>
    <w:p w14:paraId="61FE292A" w14:textId="42F60187" w:rsidR="00A16DAC" w:rsidRDefault="00A16DAC" w:rsidP="00A16DAC">
      <w:pPr>
        <w:spacing w:after="0"/>
        <w:rPr>
          <w:rFonts w:ascii="Times New Roman" w:hAnsi="Times New Roman" w:cs="Times New Roman"/>
          <w:sz w:val="24"/>
          <w:szCs w:val="24"/>
        </w:rPr>
      </w:pPr>
      <w:r>
        <w:rPr>
          <w:rFonts w:ascii="Times New Roman" w:hAnsi="Times New Roman" w:cs="Times New Roman"/>
          <w:sz w:val="24"/>
          <w:szCs w:val="24"/>
        </w:rPr>
        <w:t xml:space="preserve">Collectively much of our efforts to replace disruptive pesticides with reduced risk and more targeted pest control chemistries are stymied when MRL issues in key target markets lead to hop growers being forbidden to apply improved pesticide chemistry. We propose to complete a comprehensive, controlled study on what actual residues exist on hops given an intensive, but realistic, use of candidate pesticide chemistry. New evidence has emerged that the application of ozonated water can break down pesticide residues. We plan to investigate if the application of ozonated water 1 or 2 days prior to harvest can reduce pesticide residues of key pesticides with MRL issues in target export markets. </w:t>
      </w:r>
    </w:p>
    <w:p w14:paraId="6E7E0F7D" w14:textId="77777777" w:rsidR="00A16DAC" w:rsidRDefault="00A16DAC" w:rsidP="00A16DAC">
      <w:pPr>
        <w:spacing w:after="0"/>
        <w:rPr>
          <w:rFonts w:ascii="Times New Roman" w:hAnsi="Times New Roman" w:cs="Times New Roman"/>
          <w:sz w:val="24"/>
          <w:szCs w:val="24"/>
        </w:rPr>
      </w:pPr>
    </w:p>
    <w:p w14:paraId="75252971" w14:textId="77777777" w:rsidR="00A16DAC" w:rsidRDefault="00A16DAC" w:rsidP="00A16DAC">
      <w:pPr>
        <w:spacing w:after="0"/>
        <w:rPr>
          <w:rFonts w:ascii="Times New Roman" w:hAnsi="Times New Roman" w:cs="Times New Roman"/>
          <w:sz w:val="24"/>
          <w:szCs w:val="24"/>
        </w:rPr>
      </w:pPr>
      <w:r>
        <w:rPr>
          <w:rFonts w:ascii="Times New Roman" w:hAnsi="Times New Roman" w:cs="Times New Roman"/>
          <w:sz w:val="24"/>
          <w:szCs w:val="24"/>
        </w:rPr>
        <w:t xml:space="preserve">Comprehensively we will continue to conduct our extensive outreach and engagement and to proactively support the hop industry in regulatory affairs. </w:t>
      </w:r>
    </w:p>
    <w:p w14:paraId="6B8D8010" w14:textId="2DB3B7C8" w:rsidR="00554A43" w:rsidRDefault="00554A43" w:rsidP="00A16DAC">
      <w:pPr>
        <w:spacing w:after="0"/>
        <w:rPr>
          <w:rFonts w:ascii="Times New Roman" w:hAnsi="Times New Roman" w:cs="Times New Roman"/>
          <w:sz w:val="24"/>
          <w:szCs w:val="24"/>
        </w:rPr>
      </w:pPr>
    </w:p>
    <w:p w14:paraId="2E76E1F8" w14:textId="1E77CAAD" w:rsidR="00554A43" w:rsidRDefault="008B4415" w:rsidP="008B4415">
      <w:pPr>
        <w:spacing w:after="0"/>
        <w:rPr>
          <w:rFonts w:ascii="Times New Roman" w:hAnsi="Times New Roman" w:cs="Times New Roman"/>
          <w:sz w:val="24"/>
          <w:szCs w:val="24"/>
        </w:rPr>
      </w:pPr>
      <w:r w:rsidRPr="0028392A">
        <w:rPr>
          <w:rFonts w:ascii="Times New Roman" w:hAnsi="Times New Roman" w:cs="Times New Roman"/>
          <w:b/>
          <w:sz w:val="24"/>
          <w:szCs w:val="24"/>
        </w:rPr>
        <w:t>Proposed Duration:</w:t>
      </w:r>
      <w:r>
        <w:rPr>
          <w:rFonts w:ascii="Times New Roman" w:hAnsi="Times New Roman" w:cs="Times New Roman"/>
          <w:sz w:val="24"/>
          <w:szCs w:val="24"/>
        </w:rPr>
        <w:t xml:space="preserve"> Year</w:t>
      </w:r>
      <w:r w:rsidR="002C081F">
        <w:rPr>
          <w:rFonts w:ascii="Times New Roman" w:hAnsi="Times New Roman" w:cs="Times New Roman"/>
          <w:sz w:val="24"/>
          <w:szCs w:val="24"/>
        </w:rPr>
        <w:t xml:space="preserve"> 14</w:t>
      </w:r>
      <w:r>
        <w:rPr>
          <w:rFonts w:ascii="Times New Roman" w:hAnsi="Times New Roman" w:cs="Times New Roman"/>
          <w:sz w:val="24"/>
          <w:szCs w:val="24"/>
        </w:rPr>
        <w:t xml:space="preserve"> complete. Year </w:t>
      </w:r>
      <w:r w:rsidR="00B169A6">
        <w:rPr>
          <w:rFonts w:ascii="Times New Roman" w:hAnsi="Times New Roman" w:cs="Times New Roman"/>
          <w:sz w:val="24"/>
          <w:szCs w:val="24"/>
        </w:rPr>
        <w:t>1</w:t>
      </w:r>
      <w:r w:rsidR="002C081F">
        <w:rPr>
          <w:rFonts w:ascii="Times New Roman" w:hAnsi="Times New Roman" w:cs="Times New Roman"/>
          <w:sz w:val="24"/>
          <w:szCs w:val="24"/>
        </w:rPr>
        <w:t>5</w:t>
      </w:r>
      <w:r>
        <w:rPr>
          <w:rFonts w:ascii="Times New Roman" w:hAnsi="Times New Roman" w:cs="Times New Roman"/>
          <w:sz w:val="24"/>
          <w:szCs w:val="24"/>
        </w:rPr>
        <w:t xml:space="preserve"> proposal</w:t>
      </w:r>
      <w:r w:rsidR="009B6944">
        <w:rPr>
          <w:rFonts w:ascii="Times New Roman" w:hAnsi="Times New Roman" w:cs="Times New Roman"/>
          <w:sz w:val="24"/>
          <w:szCs w:val="24"/>
        </w:rPr>
        <w:t>.</w:t>
      </w:r>
    </w:p>
    <w:p w14:paraId="21C7C030" w14:textId="77777777" w:rsidR="00554A43" w:rsidRDefault="00554A43" w:rsidP="008B4415">
      <w:pPr>
        <w:spacing w:after="0"/>
        <w:rPr>
          <w:rFonts w:ascii="Times New Roman" w:hAnsi="Times New Roman" w:cs="Times New Roman"/>
          <w:sz w:val="24"/>
          <w:szCs w:val="24"/>
        </w:rPr>
      </w:pPr>
    </w:p>
    <w:p w14:paraId="0724A3CB" w14:textId="77777777" w:rsidR="008B4415" w:rsidRPr="00554A43" w:rsidRDefault="008B4415" w:rsidP="008B4415">
      <w:pPr>
        <w:spacing w:after="0"/>
        <w:rPr>
          <w:rFonts w:ascii="Times New Roman" w:hAnsi="Times New Roman" w:cs="Times New Roman"/>
          <w:sz w:val="24"/>
          <w:szCs w:val="24"/>
        </w:rPr>
      </w:pPr>
      <w:r w:rsidRPr="0028392A">
        <w:rPr>
          <w:rFonts w:ascii="Times New Roman" w:hAnsi="Times New Roman" w:cs="Times New Roman"/>
          <w:b/>
          <w:sz w:val="24"/>
          <w:szCs w:val="24"/>
        </w:rPr>
        <w:t>Project Leader:</w:t>
      </w:r>
    </w:p>
    <w:p w14:paraId="23AC589F" w14:textId="77777777" w:rsidR="008B4415" w:rsidRDefault="008B4415" w:rsidP="008B4415">
      <w:pPr>
        <w:spacing w:after="0"/>
        <w:rPr>
          <w:rFonts w:ascii="Times New Roman" w:hAnsi="Times New Roman" w:cs="Times New Roman"/>
          <w:sz w:val="24"/>
          <w:szCs w:val="24"/>
        </w:rPr>
      </w:pPr>
      <w:r w:rsidRPr="0028392A">
        <w:rPr>
          <w:rFonts w:ascii="Times New Roman" w:hAnsi="Times New Roman" w:cs="Times New Roman"/>
          <w:sz w:val="24"/>
          <w:szCs w:val="24"/>
        </w:rPr>
        <w:t>Douglas B. Walsh, Professor of Entomology</w:t>
      </w:r>
      <w:r w:rsidRPr="0028392A">
        <w:rPr>
          <w:rFonts w:ascii="Times New Roman" w:hAnsi="Times New Roman" w:cs="Times New Roman"/>
          <w:sz w:val="24"/>
          <w:szCs w:val="24"/>
        </w:rPr>
        <w:tab/>
      </w:r>
    </w:p>
    <w:p w14:paraId="25D0963E" w14:textId="77777777" w:rsidR="008B4415" w:rsidRPr="0028392A" w:rsidRDefault="008B4415" w:rsidP="008B4415">
      <w:pPr>
        <w:spacing w:after="0"/>
        <w:rPr>
          <w:rFonts w:ascii="Times New Roman" w:hAnsi="Times New Roman" w:cs="Times New Roman"/>
          <w:sz w:val="24"/>
          <w:szCs w:val="24"/>
        </w:rPr>
      </w:pPr>
      <w:r w:rsidRPr="0028392A">
        <w:rPr>
          <w:rFonts w:ascii="Times New Roman" w:hAnsi="Times New Roman" w:cs="Times New Roman"/>
          <w:sz w:val="24"/>
          <w:szCs w:val="24"/>
        </w:rPr>
        <w:t>Washington State University</w:t>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t xml:space="preserve"> </w:t>
      </w:r>
    </w:p>
    <w:p w14:paraId="4E209121" w14:textId="77777777" w:rsidR="008B4415" w:rsidRPr="0028392A" w:rsidRDefault="008B4415" w:rsidP="008B4415">
      <w:pPr>
        <w:spacing w:after="0"/>
        <w:rPr>
          <w:rFonts w:ascii="Times New Roman" w:hAnsi="Times New Roman" w:cs="Times New Roman"/>
          <w:sz w:val="24"/>
          <w:szCs w:val="24"/>
        </w:rPr>
      </w:pPr>
      <w:r w:rsidRPr="0028392A">
        <w:rPr>
          <w:rFonts w:ascii="Times New Roman" w:hAnsi="Times New Roman" w:cs="Times New Roman"/>
          <w:sz w:val="24"/>
          <w:szCs w:val="24"/>
        </w:rPr>
        <w:t>Irrigated Agriculture Research and Extension Center</w:t>
      </w:r>
      <w:r w:rsidRPr="0028392A">
        <w:rPr>
          <w:rFonts w:ascii="Times New Roman" w:hAnsi="Times New Roman" w:cs="Times New Roman"/>
          <w:sz w:val="24"/>
          <w:szCs w:val="24"/>
        </w:rPr>
        <w:tab/>
      </w:r>
      <w:r w:rsidRPr="0028392A">
        <w:rPr>
          <w:rFonts w:ascii="Times New Roman" w:hAnsi="Times New Roman" w:cs="Times New Roman"/>
          <w:sz w:val="24"/>
          <w:szCs w:val="24"/>
        </w:rPr>
        <w:tab/>
        <w:t xml:space="preserve"> </w:t>
      </w:r>
    </w:p>
    <w:p w14:paraId="526C7933" w14:textId="77777777" w:rsidR="008B4415" w:rsidRPr="0028392A" w:rsidRDefault="008B4415" w:rsidP="008B4415">
      <w:pPr>
        <w:spacing w:after="0"/>
        <w:rPr>
          <w:rFonts w:ascii="Times New Roman" w:hAnsi="Times New Roman" w:cs="Times New Roman"/>
          <w:sz w:val="24"/>
          <w:szCs w:val="24"/>
        </w:rPr>
      </w:pPr>
      <w:r w:rsidRPr="0028392A">
        <w:rPr>
          <w:rFonts w:ascii="Times New Roman" w:hAnsi="Times New Roman" w:cs="Times New Roman"/>
          <w:sz w:val="24"/>
          <w:szCs w:val="24"/>
        </w:rPr>
        <w:t>24106 N. Bunn Rd., Prosser, WA 99350</w:t>
      </w:r>
      <w:r w:rsidRPr="0028392A">
        <w:rPr>
          <w:rFonts w:ascii="Times New Roman" w:hAnsi="Times New Roman" w:cs="Times New Roman"/>
          <w:sz w:val="24"/>
          <w:szCs w:val="24"/>
        </w:rPr>
        <w:tab/>
      </w:r>
      <w:r w:rsidRPr="0028392A">
        <w:rPr>
          <w:rFonts w:ascii="Times New Roman" w:hAnsi="Times New Roman" w:cs="Times New Roman"/>
          <w:sz w:val="24"/>
          <w:szCs w:val="24"/>
        </w:rPr>
        <w:tab/>
        <w:t xml:space="preserve"> </w:t>
      </w:r>
    </w:p>
    <w:p w14:paraId="26728E0B" w14:textId="77777777" w:rsidR="008B4415" w:rsidRDefault="008B4415" w:rsidP="008B4415">
      <w:pPr>
        <w:spacing w:after="0"/>
        <w:rPr>
          <w:rFonts w:ascii="Times New Roman" w:hAnsi="Times New Roman" w:cs="Times New Roman"/>
          <w:sz w:val="24"/>
          <w:szCs w:val="24"/>
        </w:rPr>
      </w:pPr>
      <w:r w:rsidRPr="0028392A">
        <w:rPr>
          <w:rFonts w:ascii="Times New Roman" w:hAnsi="Times New Roman" w:cs="Times New Roman"/>
          <w:sz w:val="24"/>
          <w:szCs w:val="24"/>
        </w:rPr>
        <w:t>509-786-9287, dwalsh@wsu.edu, http://ipm.wsu.edu</w:t>
      </w:r>
    </w:p>
    <w:p w14:paraId="13C000C9" w14:textId="77777777" w:rsidR="008B4415" w:rsidRPr="00F214E3" w:rsidRDefault="008B4415" w:rsidP="008B4415">
      <w:pPr>
        <w:spacing w:after="0"/>
        <w:rPr>
          <w:rFonts w:ascii="Times New Roman" w:hAnsi="Times New Roman" w:cs="Times New Roman"/>
          <w:sz w:val="10"/>
          <w:szCs w:val="10"/>
        </w:rPr>
      </w:pPr>
    </w:p>
    <w:p w14:paraId="47EAC8C1" w14:textId="77777777" w:rsidR="008B4415" w:rsidRDefault="008B4415" w:rsidP="008B4415">
      <w:pPr>
        <w:spacing w:after="0"/>
        <w:rPr>
          <w:rFonts w:ascii="Times New Roman" w:hAnsi="Times New Roman" w:cs="Times New Roman"/>
          <w:b/>
          <w:sz w:val="24"/>
          <w:szCs w:val="24"/>
        </w:rPr>
      </w:pPr>
      <w:r w:rsidRPr="008B6E8B">
        <w:rPr>
          <w:rFonts w:ascii="Times New Roman" w:hAnsi="Times New Roman" w:cs="Times New Roman"/>
          <w:b/>
          <w:sz w:val="24"/>
          <w:szCs w:val="24"/>
        </w:rPr>
        <w:t>Cooperators</w:t>
      </w:r>
      <w:r>
        <w:rPr>
          <w:rFonts w:ascii="Times New Roman" w:hAnsi="Times New Roman" w:cs="Times New Roman"/>
          <w:b/>
          <w:sz w:val="24"/>
          <w:szCs w:val="24"/>
        </w:rPr>
        <w:t>:</w:t>
      </w:r>
    </w:p>
    <w:p w14:paraId="152474A0" w14:textId="77777777" w:rsidR="008B4415" w:rsidRPr="008B6E8B" w:rsidRDefault="008B4415" w:rsidP="008B4415">
      <w:pPr>
        <w:spacing w:after="0"/>
        <w:rPr>
          <w:rFonts w:ascii="Times New Roman" w:hAnsi="Times New Roman" w:cs="Times New Roman"/>
          <w:sz w:val="24"/>
          <w:szCs w:val="24"/>
        </w:rPr>
      </w:pPr>
      <w:r w:rsidRPr="008B6E8B">
        <w:rPr>
          <w:rFonts w:ascii="Times New Roman" w:hAnsi="Times New Roman" w:cs="Times New Roman"/>
          <w:sz w:val="24"/>
          <w:szCs w:val="24"/>
        </w:rPr>
        <w:t>Sally O’Neal, Sr. Extension Outreach Specialist</w:t>
      </w:r>
      <w:r w:rsidRPr="008B6E8B">
        <w:rPr>
          <w:rFonts w:ascii="Times New Roman" w:hAnsi="Times New Roman" w:cs="Times New Roman"/>
          <w:sz w:val="24"/>
          <w:szCs w:val="24"/>
        </w:rPr>
        <w:tab/>
        <w:t>David Gent, USDA-ARS</w:t>
      </w:r>
    </w:p>
    <w:p w14:paraId="329ACFCE" w14:textId="77777777" w:rsidR="008B4415" w:rsidRPr="008B6E8B" w:rsidRDefault="008B4415" w:rsidP="008B4415">
      <w:pPr>
        <w:spacing w:after="0"/>
        <w:rPr>
          <w:rFonts w:ascii="Times New Roman" w:hAnsi="Times New Roman" w:cs="Times New Roman"/>
          <w:sz w:val="24"/>
          <w:szCs w:val="24"/>
        </w:rPr>
      </w:pPr>
      <w:r w:rsidRPr="008B6E8B">
        <w:rPr>
          <w:rFonts w:ascii="Times New Roman" w:hAnsi="Times New Roman" w:cs="Times New Roman"/>
          <w:sz w:val="24"/>
          <w:szCs w:val="24"/>
        </w:rPr>
        <w:t>Dan Groenendale, Field Research Director</w:t>
      </w:r>
      <w:r w:rsidRPr="008B6E8B">
        <w:rPr>
          <w:rFonts w:ascii="Times New Roman" w:hAnsi="Times New Roman" w:cs="Times New Roman"/>
          <w:sz w:val="24"/>
          <w:szCs w:val="24"/>
        </w:rPr>
        <w:tab/>
      </w:r>
      <w:r w:rsidRPr="008B6E8B">
        <w:rPr>
          <w:rFonts w:ascii="Times New Roman" w:hAnsi="Times New Roman" w:cs="Times New Roman"/>
          <w:sz w:val="24"/>
          <w:szCs w:val="24"/>
        </w:rPr>
        <w:tab/>
      </w:r>
      <w:r w:rsidR="003F3E5C">
        <w:rPr>
          <w:rFonts w:ascii="Times New Roman" w:hAnsi="Times New Roman" w:cs="Times New Roman"/>
          <w:sz w:val="24"/>
          <w:szCs w:val="24"/>
        </w:rPr>
        <w:t>Justin Clements</w:t>
      </w:r>
      <w:r w:rsidRPr="008B6E8B">
        <w:rPr>
          <w:rFonts w:ascii="Times New Roman" w:hAnsi="Times New Roman" w:cs="Times New Roman"/>
          <w:sz w:val="24"/>
          <w:szCs w:val="24"/>
        </w:rPr>
        <w:t xml:space="preserve">, </w:t>
      </w:r>
      <w:r w:rsidR="003F3E5C">
        <w:rPr>
          <w:rFonts w:ascii="Times New Roman" w:hAnsi="Times New Roman" w:cs="Times New Roman"/>
          <w:sz w:val="24"/>
          <w:szCs w:val="24"/>
        </w:rPr>
        <w:t>U of Idaho, Parma</w:t>
      </w:r>
      <w:r w:rsidRPr="008B6E8B">
        <w:rPr>
          <w:rFonts w:ascii="Times New Roman" w:hAnsi="Times New Roman" w:cs="Times New Roman"/>
          <w:sz w:val="24"/>
          <w:szCs w:val="24"/>
        </w:rPr>
        <w:t xml:space="preserve"> </w:t>
      </w:r>
    </w:p>
    <w:p w14:paraId="7822D5B8" w14:textId="77777777" w:rsidR="008B4415" w:rsidRPr="00F214E3" w:rsidRDefault="008B4415" w:rsidP="008B4415">
      <w:pPr>
        <w:spacing w:after="0"/>
        <w:rPr>
          <w:rFonts w:ascii="Times New Roman" w:hAnsi="Times New Roman" w:cs="Times New Roman"/>
          <w:sz w:val="10"/>
          <w:szCs w:val="10"/>
        </w:rPr>
      </w:pPr>
    </w:p>
    <w:p w14:paraId="6B6DE369" w14:textId="77777777" w:rsidR="008B4415" w:rsidRPr="001A60A3" w:rsidRDefault="008B4415" w:rsidP="008B4415">
      <w:pPr>
        <w:spacing w:after="0"/>
        <w:rPr>
          <w:rFonts w:ascii="Times New Roman" w:hAnsi="Times New Roman" w:cs="Times New Roman"/>
          <w:b/>
          <w:sz w:val="24"/>
          <w:szCs w:val="24"/>
        </w:rPr>
      </w:pPr>
      <w:r w:rsidRPr="001A60A3">
        <w:rPr>
          <w:rFonts w:ascii="Times New Roman" w:hAnsi="Times New Roman" w:cs="Times New Roman"/>
          <w:b/>
          <w:sz w:val="24"/>
          <w:szCs w:val="24"/>
        </w:rPr>
        <w:t xml:space="preserve">Amount Requested: </w:t>
      </w:r>
    </w:p>
    <w:p w14:paraId="71BA1ED0" w14:textId="454FE426" w:rsidR="008B4415" w:rsidRDefault="008B4415" w:rsidP="008B4415">
      <w:pPr>
        <w:spacing w:after="0"/>
        <w:rPr>
          <w:rFonts w:ascii="Times New Roman" w:hAnsi="Times New Roman" w:cs="Times New Roman"/>
          <w:sz w:val="24"/>
          <w:szCs w:val="24"/>
        </w:rPr>
      </w:pPr>
      <w:r w:rsidRPr="001A60A3">
        <w:rPr>
          <w:rFonts w:ascii="Times New Roman" w:hAnsi="Times New Roman" w:cs="Times New Roman"/>
          <w:sz w:val="24"/>
          <w:szCs w:val="24"/>
        </w:rPr>
        <w:t>$</w:t>
      </w:r>
      <w:r w:rsidR="00501FB1">
        <w:rPr>
          <w:rFonts w:ascii="Times New Roman" w:hAnsi="Times New Roman" w:cs="Times New Roman"/>
          <w:sz w:val="24"/>
          <w:szCs w:val="24"/>
        </w:rPr>
        <w:t>40,417</w:t>
      </w:r>
      <w:r w:rsidR="000F3642">
        <w:rPr>
          <w:rFonts w:ascii="Times New Roman" w:hAnsi="Times New Roman" w:cs="Times New Roman"/>
          <w:sz w:val="24"/>
          <w:szCs w:val="24"/>
        </w:rPr>
        <w:t xml:space="preserve"> ($</w:t>
      </w:r>
      <w:r w:rsidR="00501FB1">
        <w:rPr>
          <w:rFonts w:ascii="Times New Roman" w:hAnsi="Times New Roman" w:cs="Times New Roman"/>
          <w:sz w:val="24"/>
          <w:szCs w:val="24"/>
        </w:rPr>
        <w:t>24,250</w:t>
      </w:r>
      <w:r w:rsidR="000F3642">
        <w:rPr>
          <w:rFonts w:ascii="Times New Roman" w:hAnsi="Times New Roman" w:cs="Times New Roman"/>
          <w:sz w:val="24"/>
          <w:szCs w:val="24"/>
        </w:rPr>
        <w:t xml:space="preserve"> HRC and $</w:t>
      </w:r>
      <w:r w:rsidR="00501FB1">
        <w:rPr>
          <w:rFonts w:ascii="Times New Roman" w:hAnsi="Times New Roman" w:cs="Times New Roman"/>
          <w:sz w:val="24"/>
          <w:szCs w:val="24"/>
        </w:rPr>
        <w:t>16,167</w:t>
      </w:r>
      <w:r w:rsidR="000F3642">
        <w:rPr>
          <w:rFonts w:ascii="Times New Roman" w:hAnsi="Times New Roman" w:cs="Times New Roman"/>
          <w:sz w:val="24"/>
          <w:szCs w:val="24"/>
        </w:rPr>
        <w:t xml:space="preserve"> from WA Hop Commission</w:t>
      </w:r>
      <w:r w:rsidR="0098183F">
        <w:rPr>
          <w:rFonts w:ascii="Times New Roman" w:hAnsi="Times New Roman" w:cs="Times New Roman"/>
          <w:sz w:val="24"/>
          <w:szCs w:val="24"/>
        </w:rPr>
        <w:t>)</w:t>
      </w:r>
    </w:p>
    <w:p w14:paraId="0C3D1285" w14:textId="77777777" w:rsidR="008B4415" w:rsidRDefault="008B4415" w:rsidP="008B4415">
      <w:pPr>
        <w:spacing w:after="0"/>
        <w:rPr>
          <w:rFonts w:ascii="Times New Roman" w:hAnsi="Times New Roman" w:cs="Times New Roman"/>
          <w:sz w:val="24"/>
          <w:szCs w:val="24"/>
        </w:rPr>
      </w:pPr>
    </w:p>
    <w:p w14:paraId="1DFC1CA9" w14:textId="77777777" w:rsidR="00B6756F" w:rsidRDefault="00B6756F" w:rsidP="00F214E3">
      <w:pPr>
        <w:spacing w:after="0"/>
        <w:rPr>
          <w:rFonts w:ascii="Times New Roman" w:hAnsi="Times New Roman" w:cs="Times New Roman"/>
          <w:b/>
          <w:sz w:val="24"/>
          <w:szCs w:val="24"/>
        </w:rPr>
      </w:pPr>
    </w:p>
    <w:p w14:paraId="6BE4368A" w14:textId="77777777" w:rsidR="00B6756F" w:rsidRDefault="00B6756F" w:rsidP="00F214E3">
      <w:pPr>
        <w:spacing w:after="0"/>
        <w:rPr>
          <w:rFonts w:ascii="Times New Roman" w:hAnsi="Times New Roman" w:cs="Times New Roman"/>
          <w:b/>
          <w:sz w:val="24"/>
          <w:szCs w:val="24"/>
        </w:rPr>
      </w:pPr>
    </w:p>
    <w:p w14:paraId="2D0D4059" w14:textId="77777777" w:rsidR="00F214E3" w:rsidRDefault="00F214E3" w:rsidP="00F214E3">
      <w:pPr>
        <w:spacing w:after="0"/>
        <w:rPr>
          <w:rFonts w:ascii="Times New Roman" w:hAnsi="Times New Roman" w:cs="Times New Roman"/>
          <w:b/>
          <w:sz w:val="24"/>
          <w:szCs w:val="24"/>
        </w:rPr>
      </w:pPr>
      <w:r w:rsidRPr="008B6E8B">
        <w:rPr>
          <w:rFonts w:ascii="Times New Roman" w:hAnsi="Times New Roman" w:cs="Times New Roman"/>
          <w:b/>
          <w:sz w:val="24"/>
          <w:szCs w:val="24"/>
        </w:rPr>
        <w:lastRenderedPageBreak/>
        <w:t>Other Funding:</w:t>
      </w:r>
    </w:p>
    <w:p w14:paraId="23FE23D1" w14:textId="7882F784" w:rsidR="0002419D" w:rsidRDefault="0002419D" w:rsidP="0002419D">
      <w:pPr>
        <w:spacing w:after="0"/>
        <w:rPr>
          <w:rFonts w:ascii="Times New Roman" w:hAnsi="Times New Roman" w:cs="Times New Roman"/>
          <w:sz w:val="24"/>
          <w:szCs w:val="24"/>
        </w:rPr>
      </w:pPr>
      <w:r w:rsidRPr="00D757C4">
        <w:rPr>
          <w:rFonts w:ascii="Times New Roman" w:hAnsi="Times New Roman" w:cs="Times New Roman"/>
          <w:sz w:val="24"/>
          <w:szCs w:val="24"/>
        </w:rPr>
        <w:t>1.</w:t>
      </w:r>
      <w:r w:rsidRPr="00DE1005">
        <w:t xml:space="preserve"> </w:t>
      </w:r>
      <w:r w:rsidRPr="00DE1005">
        <w:rPr>
          <w:rFonts w:ascii="Times New Roman" w:hAnsi="Times New Roman" w:cs="Times New Roman"/>
          <w:sz w:val="24"/>
          <w:szCs w:val="24"/>
        </w:rPr>
        <w:t xml:space="preserve">Enhancing Supply Chain Sustainability </w:t>
      </w:r>
      <w:r w:rsidR="00CB1DC9">
        <w:rPr>
          <w:rFonts w:ascii="Times New Roman" w:hAnsi="Times New Roman" w:cs="Times New Roman"/>
          <w:sz w:val="24"/>
          <w:szCs w:val="24"/>
        </w:rPr>
        <w:t>and</w:t>
      </w:r>
      <w:r w:rsidR="00CB1DC9" w:rsidRPr="00DE1005">
        <w:rPr>
          <w:rFonts w:ascii="Times New Roman" w:hAnsi="Times New Roman" w:cs="Times New Roman"/>
          <w:sz w:val="24"/>
          <w:szCs w:val="24"/>
        </w:rPr>
        <w:t xml:space="preserve"> </w:t>
      </w:r>
      <w:r w:rsidRPr="00DE1005">
        <w:rPr>
          <w:rFonts w:ascii="Times New Roman" w:hAnsi="Times New Roman" w:cs="Times New Roman"/>
          <w:sz w:val="24"/>
          <w:szCs w:val="24"/>
        </w:rPr>
        <w:t xml:space="preserve">Global Competitiveness </w:t>
      </w:r>
      <w:r w:rsidR="00CB1DC9">
        <w:rPr>
          <w:rFonts w:ascii="Times New Roman" w:hAnsi="Times New Roman" w:cs="Times New Roman"/>
          <w:sz w:val="24"/>
          <w:szCs w:val="24"/>
        </w:rPr>
        <w:t>for</w:t>
      </w:r>
      <w:r w:rsidR="00CB1DC9" w:rsidRPr="00DE1005">
        <w:rPr>
          <w:rFonts w:ascii="Times New Roman" w:hAnsi="Times New Roman" w:cs="Times New Roman"/>
          <w:sz w:val="24"/>
          <w:szCs w:val="24"/>
        </w:rPr>
        <w:t xml:space="preserve"> </w:t>
      </w:r>
      <w:r w:rsidRPr="00DE1005">
        <w:rPr>
          <w:rFonts w:ascii="Times New Roman" w:hAnsi="Times New Roman" w:cs="Times New Roman"/>
          <w:sz w:val="24"/>
          <w:szCs w:val="24"/>
        </w:rPr>
        <w:t>Pacific Northwest Hops</w:t>
      </w:r>
      <w:r w:rsidRPr="00D757C4">
        <w:rPr>
          <w:rFonts w:ascii="Times New Roman" w:hAnsi="Times New Roman" w:cs="Times New Roman"/>
          <w:sz w:val="24"/>
          <w:szCs w:val="24"/>
        </w:rPr>
        <w:t xml:space="preserve"> </w:t>
      </w:r>
      <w:r>
        <w:rPr>
          <w:rFonts w:ascii="Times New Roman" w:hAnsi="Times New Roman" w:cs="Times New Roman"/>
          <w:sz w:val="24"/>
          <w:szCs w:val="24"/>
        </w:rPr>
        <w:t>USDA-NIFA, Specialty Crop Research Initiative. $</w:t>
      </w:r>
      <w:r w:rsidRPr="00C734F2">
        <w:rPr>
          <w:rFonts w:ascii="Times New Roman" w:hAnsi="Times New Roman" w:cs="Times New Roman"/>
          <w:sz w:val="24"/>
          <w:szCs w:val="24"/>
        </w:rPr>
        <w:t>4,853,907</w:t>
      </w:r>
      <w:r>
        <w:rPr>
          <w:rFonts w:ascii="Times New Roman" w:hAnsi="Times New Roman" w:cs="Times New Roman"/>
          <w:sz w:val="24"/>
          <w:szCs w:val="24"/>
        </w:rPr>
        <w:t xml:space="preserve">. 10/1/21 through 9/30/25. Features the usual suspects among </w:t>
      </w:r>
      <w:r w:rsidR="00712C49">
        <w:rPr>
          <w:rFonts w:ascii="Times New Roman" w:hAnsi="Times New Roman" w:cs="Times New Roman"/>
          <w:sz w:val="24"/>
          <w:szCs w:val="24"/>
        </w:rPr>
        <w:t xml:space="preserve">hop researchers </w:t>
      </w:r>
      <w:r>
        <w:rPr>
          <w:rFonts w:ascii="Times New Roman" w:hAnsi="Times New Roman" w:cs="Times New Roman"/>
          <w:sz w:val="24"/>
          <w:szCs w:val="24"/>
        </w:rPr>
        <w:t>and a few new scientists working on data analysis and project evaluation.</w:t>
      </w:r>
    </w:p>
    <w:p w14:paraId="67B0D4AD" w14:textId="77777777" w:rsidR="0002419D" w:rsidRDefault="0002419D" w:rsidP="0002419D">
      <w:pPr>
        <w:spacing w:after="0"/>
        <w:rPr>
          <w:rFonts w:ascii="Times New Roman" w:hAnsi="Times New Roman" w:cs="Times New Roman"/>
          <w:sz w:val="24"/>
          <w:szCs w:val="24"/>
        </w:rPr>
      </w:pPr>
    </w:p>
    <w:p w14:paraId="05DBE331" w14:textId="77777777" w:rsidR="0002419D" w:rsidRPr="00D757C4" w:rsidRDefault="0002419D" w:rsidP="0002419D">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D757C4">
        <w:rPr>
          <w:rFonts w:ascii="Times New Roman" w:hAnsi="Times New Roman" w:cs="Times New Roman"/>
          <w:sz w:val="24"/>
          <w:szCs w:val="24"/>
        </w:rPr>
        <w:t>Washington State IPM Extension Implementation Program 20</w:t>
      </w:r>
      <w:r>
        <w:rPr>
          <w:rFonts w:ascii="Times New Roman" w:hAnsi="Times New Roman" w:cs="Times New Roman"/>
          <w:sz w:val="24"/>
          <w:szCs w:val="24"/>
        </w:rPr>
        <w:t>21</w:t>
      </w:r>
      <w:r w:rsidRPr="00D757C4">
        <w:rPr>
          <w:rFonts w:ascii="Times New Roman" w:hAnsi="Times New Roman" w:cs="Times New Roman"/>
          <w:sz w:val="24"/>
          <w:szCs w:val="24"/>
        </w:rPr>
        <w:t>-202</w:t>
      </w:r>
      <w:r>
        <w:rPr>
          <w:rFonts w:ascii="Times New Roman" w:hAnsi="Times New Roman" w:cs="Times New Roman"/>
          <w:sz w:val="24"/>
          <w:szCs w:val="24"/>
        </w:rPr>
        <w:t>4</w:t>
      </w:r>
      <w:r w:rsidRPr="00D757C4">
        <w:rPr>
          <w:rFonts w:ascii="Times New Roman" w:hAnsi="Times New Roman" w:cs="Times New Roman"/>
          <w:sz w:val="24"/>
          <w:szCs w:val="24"/>
        </w:rPr>
        <w:t xml:space="preserve"> USDA-CIFA CPPM</w:t>
      </w:r>
    </w:p>
    <w:p w14:paraId="5FA78951" w14:textId="535E8D32" w:rsidR="0002419D" w:rsidRPr="00D757C4" w:rsidRDefault="0002419D" w:rsidP="0002419D">
      <w:pPr>
        <w:spacing w:after="0"/>
        <w:rPr>
          <w:rFonts w:ascii="Times New Roman" w:hAnsi="Times New Roman" w:cs="Times New Roman"/>
          <w:sz w:val="24"/>
          <w:szCs w:val="24"/>
        </w:rPr>
      </w:pPr>
      <w:r w:rsidRPr="00D757C4">
        <w:rPr>
          <w:rFonts w:ascii="Times New Roman" w:hAnsi="Times New Roman" w:cs="Times New Roman"/>
          <w:sz w:val="24"/>
          <w:szCs w:val="24"/>
        </w:rPr>
        <w:t>$</w:t>
      </w:r>
      <w:r>
        <w:rPr>
          <w:rFonts w:ascii="Times New Roman" w:hAnsi="Times New Roman" w:cs="Times New Roman"/>
          <w:sz w:val="24"/>
          <w:szCs w:val="24"/>
        </w:rPr>
        <w:t xml:space="preserve">757,206. </w:t>
      </w:r>
      <w:r w:rsidRPr="00D757C4">
        <w:rPr>
          <w:rFonts w:ascii="Times New Roman" w:hAnsi="Times New Roman" w:cs="Times New Roman"/>
          <w:sz w:val="24"/>
          <w:szCs w:val="24"/>
        </w:rPr>
        <w:t>9/1/</w:t>
      </w:r>
      <w:r>
        <w:rPr>
          <w:rFonts w:ascii="Times New Roman" w:hAnsi="Times New Roman" w:cs="Times New Roman"/>
          <w:sz w:val="24"/>
          <w:szCs w:val="24"/>
        </w:rPr>
        <w:t>2021</w:t>
      </w:r>
      <w:r w:rsidRPr="00D757C4">
        <w:rPr>
          <w:rFonts w:ascii="Times New Roman" w:hAnsi="Times New Roman" w:cs="Times New Roman"/>
          <w:sz w:val="24"/>
          <w:szCs w:val="24"/>
        </w:rPr>
        <w:t xml:space="preserve"> through 8/31/</w:t>
      </w:r>
      <w:r>
        <w:rPr>
          <w:rFonts w:ascii="Times New Roman" w:hAnsi="Times New Roman" w:cs="Times New Roman"/>
          <w:sz w:val="24"/>
          <w:szCs w:val="24"/>
        </w:rPr>
        <w:t>2024</w:t>
      </w:r>
      <w:r w:rsidRPr="00D757C4">
        <w:rPr>
          <w:rFonts w:ascii="Times New Roman" w:hAnsi="Times New Roman" w:cs="Times New Roman"/>
          <w:sz w:val="24"/>
          <w:szCs w:val="24"/>
        </w:rPr>
        <w:t xml:space="preserve">. A substantial proportion of these funds are used to support Senior Communication Specialist Sally O’Neal. Extension </w:t>
      </w:r>
      <w:r w:rsidR="00712C49">
        <w:rPr>
          <w:rFonts w:ascii="Times New Roman" w:hAnsi="Times New Roman" w:cs="Times New Roman"/>
          <w:sz w:val="24"/>
          <w:szCs w:val="24"/>
        </w:rPr>
        <w:t>in</w:t>
      </w:r>
      <w:r w:rsidR="00712C49" w:rsidRPr="00D757C4">
        <w:rPr>
          <w:rFonts w:ascii="Times New Roman" w:hAnsi="Times New Roman" w:cs="Times New Roman"/>
          <w:sz w:val="24"/>
          <w:szCs w:val="24"/>
        </w:rPr>
        <w:t xml:space="preserve"> </w:t>
      </w:r>
      <w:r w:rsidRPr="00D757C4">
        <w:rPr>
          <w:rFonts w:ascii="Times New Roman" w:hAnsi="Times New Roman" w:cs="Times New Roman"/>
          <w:sz w:val="24"/>
          <w:szCs w:val="24"/>
        </w:rPr>
        <w:t xml:space="preserve">specialty crops including hops is an objective for this program and Ms. O’Neal will continue to participate with the hop industry in the production of outreach and educational outputs. </w:t>
      </w:r>
    </w:p>
    <w:p w14:paraId="394BE34F" w14:textId="77777777" w:rsidR="0002419D" w:rsidRPr="00B8248D" w:rsidRDefault="0002419D" w:rsidP="0002419D">
      <w:pPr>
        <w:spacing w:after="0"/>
        <w:rPr>
          <w:rFonts w:ascii="Times New Roman" w:hAnsi="Times New Roman" w:cs="Times New Roman"/>
          <w:sz w:val="8"/>
          <w:szCs w:val="8"/>
        </w:rPr>
      </w:pPr>
    </w:p>
    <w:p w14:paraId="2F5C2358" w14:textId="5F0DF090" w:rsidR="0002419D" w:rsidRPr="00D757C4" w:rsidRDefault="0002419D" w:rsidP="0002419D">
      <w:pPr>
        <w:spacing w:after="0"/>
        <w:rPr>
          <w:rFonts w:ascii="Times New Roman" w:hAnsi="Times New Roman" w:cs="Times New Roman"/>
          <w:sz w:val="24"/>
          <w:szCs w:val="24"/>
        </w:rPr>
      </w:pPr>
      <w:r>
        <w:rPr>
          <w:rFonts w:ascii="Times New Roman" w:hAnsi="Times New Roman" w:cs="Times New Roman"/>
          <w:sz w:val="24"/>
          <w:szCs w:val="24"/>
        </w:rPr>
        <w:t>3</w:t>
      </w:r>
      <w:r w:rsidRPr="00D757C4">
        <w:rPr>
          <w:rFonts w:ascii="Times New Roman" w:hAnsi="Times New Roman" w:cs="Times New Roman"/>
          <w:sz w:val="24"/>
          <w:szCs w:val="24"/>
        </w:rPr>
        <w:t xml:space="preserve">. Evaluation and development of hop germplasm for the WA hop region. </w:t>
      </w:r>
      <w:r>
        <w:rPr>
          <w:rFonts w:ascii="Times New Roman" w:hAnsi="Times New Roman" w:cs="Times New Roman"/>
          <w:sz w:val="24"/>
          <w:szCs w:val="24"/>
        </w:rPr>
        <w:t xml:space="preserve">USDA-Pass Through for hop breeding </w:t>
      </w:r>
      <w:r w:rsidRPr="00D757C4">
        <w:rPr>
          <w:rFonts w:ascii="Times New Roman" w:hAnsi="Times New Roman" w:cs="Times New Roman"/>
          <w:sz w:val="24"/>
          <w:szCs w:val="24"/>
        </w:rPr>
        <w:t>9/1/2</w:t>
      </w:r>
      <w:r>
        <w:rPr>
          <w:rFonts w:ascii="Times New Roman" w:hAnsi="Times New Roman" w:cs="Times New Roman"/>
          <w:sz w:val="24"/>
          <w:szCs w:val="24"/>
        </w:rPr>
        <w:t>1</w:t>
      </w:r>
      <w:r w:rsidRPr="00D757C4">
        <w:rPr>
          <w:rFonts w:ascii="Times New Roman" w:hAnsi="Times New Roman" w:cs="Times New Roman"/>
          <w:sz w:val="24"/>
          <w:szCs w:val="24"/>
        </w:rPr>
        <w:t xml:space="preserve"> to </w:t>
      </w:r>
      <w:r>
        <w:rPr>
          <w:rFonts w:ascii="Times New Roman" w:hAnsi="Times New Roman" w:cs="Times New Roman"/>
          <w:sz w:val="24"/>
          <w:szCs w:val="24"/>
        </w:rPr>
        <w:t>8/31</w:t>
      </w:r>
      <w:r w:rsidRPr="00D757C4">
        <w:rPr>
          <w:rFonts w:ascii="Times New Roman" w:hAnsi="Times New Roman" w:cs="Times New Roman"/>
          <w:sz w:val="24"/>
          <w:szCs w:val="24"/>
        </w:rPr>
        <w:t>/21. $</w:t>
      </w:r>
      <w:r>
        <w:rPr>
          <w:rFonts w:ascii="Times New Roman" w:hAnsi="Times New Roman" w:cs="Times New Roman"/>
          <w:sz w:val="24"/>
          <w:szCs w:val="24"/>
        </w:rPr>
        <w:t>74,449</w:t>
      </w:r>
      <w:r w:rsidRPr="00D757C4">
        <w:rPr>
          <w:rFonts w:ascii="Times New Roman" w:hAnsi="Times New Roman" w:cs="Times New Roman"/>
          <w:sz w:val="24"/>
          <w:szCs w:val="24"/>
        </w:rPr>
        <w:t xml:space="preserve">. These funds support IAREC Facility Hops Manager Mr. Dan Groenendale and Farmer II Mr. Tony Moreno at roughly </w:t>
      </w:r>
      <w:r>
        <w:rPr>
          <w:rFonts w:ascii="Times New Roman" w:hAnsi="Times New Roman" w:cs="Times New Roman"/>
          <w:sz w:val="24"/>
          <w:szCs w:val="24"/>
        </w:rPr>
        <w:t>37.5</w:t>
      </w:r>
      <w:r w:rsidRPr="00D757C4">
        <w:rPr>
          <w:rFonts w:ascii="Times New Roman" w:hAnsi="Times New Roman" w:cs="Times New Roman"/>
          <w:sz w:val="24"/>
          <w:szCs w:val="24"/>
        </w:rPr>
        <w:t>%</w:t>
      </w:r>
      <w:r>
        <w:rPr>
          <w:rFonts w:ascii="Times New Roman" w:hAnsi="Times New Roman" w:cs="Times New Roman"/>
          <w:sz w:val="24"/>
          <w:szCs w:val="24"/>
        </w:rPr>
        <w:t xml:space="preserve"> and 50%</w:t>
      </w:r>
      <w:r w:rsidRPr="00D757C4">
        <w:rPr>
          <w:rFonts w:ascii="Times New Roman" w:hAnsi="Times New Roman" w:cs="Times New Roman"/>
          <w:sz w:val="24"/>
          <w:szCs w:val="24"/>
        </w:rPr>
        <w:t xml:space="preserve"> FTE</w:t>
      </w:r>
      <w:r w:rsidR="00712C49">
        <w:rPr>
          <w:rFonts w:ascii="Times New Roman" w:hAnsi="Times New Roman" w:cs="Times New Roman"/>
          <w:sz w:val="24"/>
          <w:szCs w:val="24"/>
        </w:rPr>
        <w:t>, respectively</w:t>
      </w:r>
      <w:r w:rsidRPr="00D757C4">
        <w:rPr>
          <w:rFonts w:ascii="Times New Roman" w:hAnsi="Times New Roman" w:cs="Times New Roman"/>
          <w:sz w:val="24"/>
          <w:szCs w:val="24"/>
        </w:rPr>
        <w:t>. Some funds are provided for miscellaneous expenses, land use charges, local travel</w:t>
      </w:r>
      <w:r>
        <w:rPr>
          <w:rFonts w:ascii="Times New Roman" w:hAnsi="Times New Roman" w:cs="Times New Roman"/>
          <w:sz w:val="24"/>
          <w:szCs w:val="24"/>
        </w:rPr>
        <w:t xml:space="preserve">, maintenance pesticides, and miscellaneous hop growing supplies. </w:t>
      </w:r>
    </w:p>
    <w:p w14:paraId="7CC4B20B" w14:textId="77777777" w:rsidR="0002419D" w:rsidRPr="00B8248D" w:rsidRDefault="0002419D" w:rsidP="0002419D">
      <w:pPr>
        <w:spacing w:after="0"/>
        <w:rPr>
          <w:rFonts w:ascii="Times New Roman" w:hAnsi="Times New Roman" w:cs="Times New Roman"/>
          <w:sz w:val="8"/>
          <w:szCs w:val="8"/>
        </w:rPr>
      </w:pPr>
    </w:p>
    <w:p w14:paraId="20EF505A" w14:textId="6D5B95F2" w:rsidR="0002419D" w:rsidRPr="00D757C4" w:rsidRDefault="0002419D" w:rsidP="0002419D">
      <w:pPr>
        <w:spacing w:after="0"/>
        <w:rPr>
          <w:rFonts w:ascii="Times New Roman" w:hAnsi="Times New Roman" w:cs="Times New Roman"/>
          <w:sz w:val="24"/>
          <w:szCs w:val="24"/>
        </w:rPr>
      </w:pPr>
      <w:r w:rsidRPr="00D757C4">
        <w:rPr>
          <w:rFonts w:ascii="Times New Roman" w:hAnsi="Times New Roman" w:cs="Times New Roman"/>
          <w:sz w:val="24"/>
          <w:szCs w:val="24"/>
        </w:rPr>
        <w:t>3. Washington State Commission on Pesticide Registration. I will submit a request of about $20,000 for their funding consideration using Washington Hop Commission and Hop Research Council funds as matching funds. The $20,000 in WSCPR funds received in 202</w:t>
      </w:r>
      <w:r w:rsidR="0025219A">
        <w:rPr>
          <w:rFonts w:ascii="Times New Roman" w:hAnsi="Times New Roman" w:cs="Times New Roman"/>
          <w:sz w:val="24"/>
          <w:szCs w:val="24"/>
        </w:rPr>
        <w:t>1</w:t>
      </w:r>
      <w:r w:rsidRPr="00D757C4">
        <w:rPr>
          <w:rFonts w:ascii="Times New Roman" w:hAnsi="Times New Roman" w:cs="Times New Roman"/>
          <w:sz w:val="24"/>
          <w:szCs w:val="24"/>
        </w:rPr>
        <w:t xml:space="preserve"> funded have been expended on Mr. Tony Moreno and Mr. Miguel Leon’s salaries for September, October, and November 2020. We will ask for a renewal for </w:t>
      </w:r>
      <w:r w:rsidR="00712C49" w:rsidRPr="00D757C4">
        <w:rPr>
          <w:rFonts w:ascii="Times New Roman" w:hAnsi="Times New Roman" w:cs="Times New Roman"/>
          <w:sz w:val="24"/>
          <w:szCs w:val="24"/>
        </w:rPr>
        <w:t>202</w:t>
      </w:r>
      <w:r w:rsidR="00712C49">
        <w:rPr>
          <w:rFonts w:ascii="Times New Roman" w:hAnsi="Times New Roman" w:cs="Times New Roman"/>
          <w:sz w:val="24"/>
          <w:szCs w:val="24"/>
        </w:rPr>
        <w:t>2</w:t>
      </w:r>
      <w:r w:rsidRPr="00D757C4">
        <w:rPr>
          <w:rFonts w:ascii="Times New Roman" w:hAnsi="Times New Roman" w:cs="Times New Roman"/>
          <w:sz w:val="24"/>
          <w:szCs w:val="24"/>
        </w:rPr>
        <w:t xml:space="preserve">.  </w:t>
      </w:r>
    </w:p>
    <w:p w14:paraId="17EA4605" w14:textId="77777777" w:rsidR="0002419D" w:rsidRPr="00B8248D" w:rsidRDefault="0002419D" w:rsidP="0002419D">
      <w:pPr>
        <w:spacing w:after="0"/>
        <w:rPr>
          <w:rFonts w:ascii="Times New Roman" w:hAnsi="Times New Roman" w:cs="Times New Roman"/>
          <w:sz w:val="8"/>
          <w:szCs w:val="8"/>
        </w:rPr>
      </w:pPr>
    </w:p>
    <w:p w14:paraId="118CDF92" w14:textId="77777777" w:rsidR="0002419D" w:rsidRPr="00D757C4" w:rsidRDefault="0002419D" w:rsidP="0002419D">
      <w:pPr>
        <w:spacing w:after="0"/>
        <w:rPr>
          <w:rFonts w:ascii="Times New Roman" w:hAnsi="Times New Roman" w:cs="Times New Roman"/>
          <w:sz w:val="24"/>
          <w:szCs w:val="24"/>
        </w:rPr>
      </w:pPr>
      <w:r w:rsidRPr="00D757C4">
        <w:rPr>
          <w:rFonts w:ascii="Times New Roman" w:hAnsi="Times New Roman" w:cs="Times New Roman"/>
          <w:sz w:val="24"/>
          <w:szCs w:val="24"/>
        </w:rPr>
        <w:t>4. USDA-NIFA-IR-4. Magnitude of Residue and Product Efficacy Studies 202</w:t>
      </w:r>
      <w:r>
        <w:rPr>
          <w:rFonts w:ascii="Times New Roman" w:hAnsi="Times New Roman" w:cs="Times New Roman"/>
          <w:sz w:val="24"/>
          <w:szCs w:val="24"/>
        </w:rPr>
        <w:t>1</w:t>
      </w:r>
      <w:r w:rsidRPr="00D757C4">
        <w:rPr>
          <w:rFonts w:ascii="Times New Roman" w:hAnsi="Times New Roman" w:cs="Times New Roman"/>
          <w:sz w:val="24"/>
          <w:szCs w:val="24"/>
        </w:rPr>
        <w:t xml:space="preserve">. </w:t>
      </w:r>
    </w:p>
    <w:p w14:paraId="6469AEE4" w14:textId="77777777" w:rsidR="0002419D" w:rsidRPr="00D757C4" w:rsidRDefault="0002419D" w:rsidP="0002419D">
      <w:pPr>
        <w:spacing w:after="0"/>
        <w:rPr>
          <w:rFonts w:ascii="Times New Roman" w:hAnsi="Times New Roman" w:cs="Times New Roman"/>
          <w:sz w:val="24"/>
          <w:szCs w:val="24"/>
        </w:rPr>
      </w:pPr>
      <w:r w:rsidRPr="00D757C4">
        <w:rPr>
          <w:rFonts w:ascii="Times New Roman" w:hAnsi="Times New Roman" w:cs="Times New Roman"/>
          <w:sz w:val="24"/>
          <w:szCs w:val="24"/>
        </w:rPr>
        <w:t>9/1/20 to 8/31/2</w:t>
      </w:r>
      <w:r>
        <w:rPr>
          <w:rFonts w:ascii="Times New Roman" w:hAnsi="Times New Roman" w:cs="Times New Roman"/>
          <w:sz w:val="24"/>
          <w:szCs w:val="24"/>
        </w:rPr>
        <w:t>1</w:t>
      </w:r>
      <w:r w:rsidRPr="00D757C4">
        <w:rPr>
          <w:rFonts w:ascii="Times New Roman" w:hAnsi="Times New Roman" w:cs="Times New Roman"/>
          <w:sz w:val="24"/>
          <w:szCs w:val="24"/>
        </w:rPr>
        <w:t>. $</w:t>
      </w:r>
      <w:r>
        <w:rPr>
          <w:rFonts w:ascii="Times New Roman" w:hAnsi="Times New Roman" w:cs="Times New Roman"/>
          <w:sz w:val="24"/>
          <w:szCs w:val="24"/>
        </w:rPr>
        <w:t>84,500</w:t>
      </w:r>
      <w:r w:rsidRPr="00D757C4">
        <w:rPr>
          <w:rFonts w:ascii="Times New Roman" w:hAnsi="Times New Roman" w:cs="Times New Roman"/>
          <w:sz w:val="24"/>
          <w:szCs w:val="24"/>
        </w:rPr>
        <w:t xml:space="preserve">. These funds are paid as piece work by IR-4 at $6,500 for each MOR study. In most years we have 2 to </w:t>
      </w:r>
      <w:r>
        <w:rPr>
          <w:rFonts w:ascii="Times New Roman" w:hAnsi="Times New Roman" w:cs="Times New Roman"/>
          <w:sz w:val="24"/>
          <w:szCs w:val="24"/>
        </w:rPr>
        <w:t>4</w:t>
      </w:r>
      <w:r w:rsidRPr="00D757C4">
        <w:rPr>
          <w:rFonts w:ascii="Times New Roman" w:hAnsi="Times New Roman" w:cs="Times New Roman"/>
          <w:sz w:val="24"/>
          <w:szCs w:val="24"/>
        </w:rPr>
        <w:t xml:space="preserve"> MOR studies on hops. These funds are used primarily to cover salary and benefits costs for Ag Research Technologist III, Mr. Wilson Peng. Mr. Peng participates in pesticide application to hops and he completes pseudo-commercial pesticide residue trials at the direction of the Hop Industry Plant Protection Committee.  </w:t>
      </w:r>
    </w:p>
    <w:p w14:paraId="45674C46" w14:textId="77777777" w:rsidR="0002419D" w:rsidRDefault="0002419D" w:rsidP="0002419D">
      <w:pPr>
        <w:spacing w:after="0"/>
        <w:rPr>
          <w:rFonts w:ascii="Times New Roman" w:hAnsi="Times New Roman" w:cs="Times New Roman"/>
          <w:sz w:val="8"/>
          <w:szCs w:val="8"/>
        </w:rPr>
      </w:pPr>
    </w:p>
    <w:p w14:paraId="26E60567" w14:textId="77777777" w:rsidR="0002419D" w:rsidRDefault="0002419D" w:rsidP="0002419D">
      <w:pPr>
        <w:spacing w:after="0"/>
        <w:rPr>
          <w:rFonts w:ascii="Times New Roman" w:hAnsi="Times New Roman" w:cs="Times New Roman"/>
          <w:b/>
          <w:sz w:val="24"/>
          <w:szCs w:val="24"/>
        </w:rPr>
      </w:pPr>
      <w:r>
        <w:rPr>
          <w:rFonts w:ascii="Times New Roman" w:hAnsi="Times New Roman" w:cs="Times New Roman"/>
          <w:b/>
          <w:sz w:val="24"/>
          <w:szCs w:val="24"/>
        </w:rPr>
        <w:t xml:space="preserve">Send Funding to: </w:t>
      </w:r>
    </w:p>
    <w:p w14:paraId="616A1071" w14:textId="77777777" w:rsidR="0002419D" w:rsidRDefault="0002419D" w:rsidP="0002419D">
      <w:pPr>
        <w:spacing w:after="0"/>
        <w:rPr>
          <w:rFonts w:ascii="Times New Roman" w:hAnsi="Times New Roman" w:cs="Times New Roman"/>
          <w:sz w:val="24"/>
          <w:szCs w:val="24"/>
        </w:rPr>
      </w:pPr>
      <w:r>
        <w:rPr>
          <w:rFonts w:ascii="Times New Roman" w:hAnsi="Times New Roman" w:cs="Times New Roman"/>
          <w:sz w:val="24"/>
          <w:szCs w:val="24"/>
        </w:rPr>
        <w:t>Samantha Bridger</w:t>
      </w:r>
      <w:r w:rsidRPr="00097F68">
        <w:rPr>
          <w:rFonts w:ascii="Times New Roman" w:hAnsi="Times New Roman" w:cs="Times New Roman"/>
          <w:sz w:val="24"/>
          <w:szCs w:val="24"/>
        </w:rPr>
        <w:t xml:space="preserve">, </w:t>
      </w:r>
      <w:r>
        <w:rPr>
          <w:rFonts w:ascii="Times New Roman" w:hAnsi="Times New Roman" w:cs="Times New Roman"/>
          <w:sz w:val="24"/>
          <w:szCs w:val="24"/>
        </w:rPr>
        <w:t>Grants Administrator</w:t>
      </w:r>
    </w:p>
    <w:p w14:paraId="3D059897" w14:textId="77777777" w:rsidR="0002419D" w:rsidRDefault="0002419D" w:rsidP="0002419D">
      <w:pPr>
        <w:spacing w:after="0"/>
        <w:rPr>
          <w:rFonts w:ascii="Times New Roman" w:hAnsi="Times New Roman" w:cs="Times New Roman"/>
          <w:sz w:val="24"/>
          <w:szCs w:val="24"/>
        </w:rPr>
      </w:pPr>
      <w:r>
        <w:rPr>
          <w:rFonts w:ascii="Times New Roman" w:hAnsi="Times New Roman" w:cs="Times New Roman"/>
          <w:sz w:val="24"/>
          <w:szCs w:val="24"/>
        </w:rPr>
        <w:t>WSU IAREC</w:t>
      </w:r>
    </w:p>
    <w:p w14:paraId="1ABBB505" w14:textId="77777777" w:rsidR="0002419D" w:rsidRDefault="0002419D" w:rsidP="0002419D">
      <w:pPr>
        <w:spacing w:after="0"/>
        <w:rPr>
          <w:rFonts w:ascii="Times New Roman" w:hAnsi="Times New Roman" w:cs="Times New Roman"/>
          <w:sz w:val="24"/>
          <w:szCs w:val="24"/>
        </w:rPr>
      </w:pPr>
      <w:r>
        <w:rPr>
          <w:rFonts w:ascii="Times New Roman" w:hAnsi="Times New Roman" w:cs="Times New Roman"/>
          <w:sz w:val="24"/>
          <w:szCs w:val="24"/>
        </w:rPr>
        <w:t>24106 N. Bunn Rd</w:t>
      </w:r>
    </w:p>
    <w:p w14:paraId="2E1C4454" w14:textId="77777777" w:rsidR="0002419D" w:rsidRDefault="0002419D" w:rsidP="0002419D">
      <w:pPr>
        <w:spacing w:after="0"/>
        <w:rPr>
          <w:rFonts w:ascii="Times New Roman" w:hAnsi="Times New Roman" w:cs="Times New Roman"/>
          <w:sz w:val="24"/>
          <w:szCs w:val="24"/>
        </w:rPr>
      </w:pPr>
      <w:r>
        <w:rPr>
          <w:rFonts w:ascii="Times New Roman" w:hAnsi="Times New Roman" w:cs="Times New Roman"/>
          <w:sz w:val="24"/>
          <w:szCs w:val="24"/>
        </w:rPr>
        <w:t>Prosser, WA 99350</w:t>
      </w:r>
    </w:p>
    <w:p w14:paraId="0D76173F" w14:textId="77777777" w:rsidR="0002419D" w:rsidRDefault="0002419D" w:rsidP="0002419D">
      <w:pPr>
        <w:spacing w:after="0"/>
        <w:rPr>
          <w:rFonts w:ascii="Times New Roman" w:hAnsi="Times New Roman" w:cs="Times New Roman"/>
          <w:sz w:val="24"/>
          <w:szCs w:val="24"/>
        </w:rPr>
      </w:pPr>
      <w:r>
        <w:rPr>
          <w:rFonts w:ascii="Times New Roman" w:hAnsi="Times New Roman" w:cs="Times New Roman"/>
          <w:sz w:val="24"/>
          <w:szCs w:val="24"/>
        </w:rPr>
        <w:t>Tel. 509.786.9204</w:t>
      </w:r>
    </w:p>
    <w:p w14:paraId="06667F5E" w14:textId="77777777" w:rsidR="0002419D" w:rsidRDefault="0002419D" w:rsidP="0002419D">
      <w:pPr>
        <w:spacing w:after="0"/>
        <w:rPr>
          <w:rFonts w:ascii="Times New Roman" w:hAnsi="Times New Roman" w:cs="Times New Roman"/>
          <w:sz w:val="24"/>
          <w:szCs w:val="24"/>
        </w:rPr>
      </w:pPr>
      <w:r>
        <w:rPr>
          <w:rFonts w:ascii="Times New Roman" w:hAnsi="Times New Roman" w:cs="Times New Roman"/>
          <w:sz w:val="24"/>
          <w:szCs w:val="24"/>
        </w:rPr>
        <w:t>Fax. 509.786.9370</w:t>
      </w:r>
    </w:p>
    <w:p w14:paraId="2530E475" w14:textId="77777777" w:rsidR="0002419D" w:rsidRDefault="0002419D" w:rsidP="0002419D">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F07E66">
          <w:rPr>
            <w:rStyle w:val="Hyperlink"/>
            <w:rFonts w:ascii="Times New Roman" w:hAnsi="Times New Roman" w:cs="Times New Roman"/>
            <w:sz w:val="24"/>
            <w:szCs w:val="24"/>
          </w:rPr>
          <w:t>prosser.grants@wsu.edu</w:t>
        </w:r>
      </w:hyperlink>
    </w:p>
    <w:p w14:paraId="3AF3253B" w14:textId="77777777" w:rsidR="00F214E3" w:rsidRDefault="00F214E3">
      <w:pPr>
        <w:rPr>
          <w:rFonts w:ascii="Times New Roman" w:hAnsi="Times New Roman" w:cs="Times New Roman"/>
          <w:b/>
          <w:sz w:val="24"/>
          <w:szCs w:val="24"/>
        </w:rPr>
      </w:pPr>
      <w:r>
        <w:rPr>
          <w:rFonts w:ascii="Times New Roman" w:hAnsi="Times New Roman" w:cs="Times New Roman"/>
          <w:b/>
          <w:sz w:val="24"/>
          <w:szCs w:val="24"/>
        </w:rPr>
        <w:br w:type="page"/>
      </w:r>
    </w:p>
    <w:p w14:paraId="1CE822BA" w14:textId="77777777" w:rsidR="00571BB3" w:rsidRDefault="00571BB3" w:rsidP="000109A4">
      <w:pPr>
        <w:spacing w:after="0"/>
        <w:rPr>
          <w:rFonts w:ascii="Times New Roman" w:hAnsi="Times New Roman" w:cs="Times New Roman"/>
          <w:b/>
          <w:sz w:val="24"/>
          <w:szCs w:val="24"/>
        </w:rPr>
        <w:sectPr w:rsidR="00571BB3" w:rsidSect="006A2437">
          <w:footerReference w:type="default" r:id="rId8"/>
          <w:pgSz w:w="12240" w:h="15840"/>
          <w:pgMar w:top="1440" w:right="1440" w:bottom="1440" w:left="1440" w:header="720" w:footer="720" w:gutter="0"/>
          <w:pgNumType w:start="1"/>
          <w:cols w:space="720"/>
          <w:docGrid w:linePitch="360"/>
        </w:sectPr>
      </w:pPr>
    </w:p>
    <w:p w14:paraId="1088E854" w14:textId="750424A8" w:rsidR="000109A4" w:rsidRDefault="000109A4" w:rsidP="000109A4">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Project Title: </w:t>
      </w:r>
      <w:r w:rsidRPr="00B2102E">
        <w:rPr>
          <w:rFonts w:ascii="Times New Roman" w:hAnsi="Times New Roman" w:cs="Times New Roman"/>
          <w:b/>
          <w:sz w:val="24"/>
          <w:szCs w:val="24"/>
        </w:rPr>
        <w:t xml:space="preserve">Integrated Management of </w:t>
      </w:r>
      <w:r>
        <w:rPr>
          <w:rFonts w:ascii="Times New Roman" w:hAnsi="Times New Roman" w:cs="Times New Roman"/>
          <w:b/>
          <w:sz w:val="24"/>
          <w:szCs w:val="24"/>
        </w:rPr>
        <w:t>Secondary Pests</w:t>
      </w:r>
      <w:r w:rsidRPr="00B2102E">
        <w:rPr>
          <w:rFonts w:ascii="Times New Roman" w:hAnsi="Times New Roman" w:cs="Times New Roman"/>
          <w:b/>
          <w:sz w:val="24"/>
          <w:szCs w:val="24"/>
        </w:rPr>
        <w:t xml:space="preserve"> </w:t>
      </w:r>
      <w:r w:rsidR="000E1ECC">
        <w:rPr>
          <w:rFonts w:ascii="Times New Roman" w:hAnsi="Times New Roman" w:cs="Times New Roman"/>
          <w:b/>
          <w:sz w:val="24"/>
          <w:szCs w:val="24"/>
        </w:rPr>
        <w:t xml:space="preserve">and Augmented Releases of Predatory Mites </w:t>
      </w:r>
      <w:r w:rsidRPr="00B2102E">
        <w:rPr>
          <w:rFonts w:ascii="Times New Roman" w:hAnsi="Times New Roman" w:cs="Times New Roman"/>
          <w:b/>
          <w:sz w:val="24"/>
          <w:szCs w:val="24"/>
        </w:rPr>
        <w:t>on Hops</w:t>
      </w:r>
      <w:r w:rsidR="000E1ECC">
        <w:rPr>
          <w:rFonts w:ascii="Times New Roman" w:hAnsi="Times New Roman" w:cs="Times New Roman"/>
          <w:b/>
          <w:sz w:val="24"/>
          <w:szCs w:val="24"/>
        </w:rPr>
        <w:t xml:space="preserve"> </w:t>
      </w:r>
    </w:p>
    <w:p w14:paraId="6F459F2D" w14:textId="77777777" w:rsidR="008B4415" w:rsidRPr="00C8456A" w:rsidRDefault="008B4415" w:rsidP="008B4415">
      <w:pPr>
        <w:spacing w:after="0"/>
        <w:rPr>
          <w:rFonts w:ascii="Times New Roman" w:hAnsi="Times New Roman" w:cs="Times New Roman"/>
          <w:sz w:val="16"/>
          <w:szCs w:val="16"/>
        </w:rPr>
      </w:pPr>
    </w:p>
    <w:p w14:paraId="5CF8782F" w14:textId="6BBF8613" w:rsidR="002715B7" w:rsidRDefault="002715B7" w:rsidP="002715B7">
      <w:pPr>
        <w:spacing w:after="0"/>
        <w:rPr>
          <w:rFonts w:ascii="Times New Roman" w:hAnsi="Times New Roman" w:cs="Times New Roman"/>
          <w:sz w:val="24"/>
          <w:szCs w:val="24"/>
        </w:rPr>
      </w:pPr>
      <w:r w:rsidRPr="003B644B">
        <w:rPr>
          <w:rFonts w:ascii="Times New Roman" w:hAnsi="Times New Roman" w:cs="Times New Roman"/>
          <w:b/>
          <w:sz w:val="24"/>
          <w:szCs w:val="24"/>
        </w:rPr>
        <w:t>Statement of Problem</w:t>
      </w:r>
      <w:r>
        <w:rPr>
          <w:rFonts w:ascii="Times New Roman" w:hAnsi="Times New Roman" w:cs="Times New Roman"/>
          <w:b/>
          <w:sz w:val="24"/>
          <w:szCs w:val="24"/>
        </w:rPr>
        <w:t xml:space="preserve">: </w:t>
      </w:r>
      <w:r w:rsidRPr="003B644B">
        <w:rPr>
          <w:rFonts w:ascii="Times New Roman" w:hAnsi="Times New Roman" w:cs="Times New Roman"/>
          <w:sz w:val="24"/>
          <w:szCs w:val="24"/>
        </w:rPr>
        <w:t>As detailed</w:t>
      </w:r>
      <w:r>
        <w:rPr>
          <w:rFonts w:ascii="Times New Roman" w:hAnsi="Times New Roman" w:cs="Times New Roman"/>
          <w:sz w:val="24"/>
          <w:szCs w:val="24"/>
        </w:rPr>
        <w:t xml:space="preserve"> in the </w:t>
      </w:r>
      <w:r w:rsidRPr="003B644B">
        <w:rPr>
          <w:rFonts w:ascii="Times New Roman" w:hAnsi="Times New Roman" w:cs="Times New Roman"/>
          <w:sz w:val="24"/>
          <w:szCs w:val="24"/>
        </w:rPr>
        <w:t xml:space="preserve">Hop Research Council Research Priorities </w:t>
      </w:r>
      <w:r>
        <w:rPr>
          <w:rFonts w:ascii="Times New Roman" w:hAnsi="Times New Roman" w:cs="Times New Roman"/>
          <w:sz w:val="24"/>
          <w:szCs w:val="24"/>
        </w:rPr>
        <w:t xml:space="preserve">for research </w:t>
      </w:r>
      <w:r w:rsidR="00BD46DD">
        <w:rPr>
          <w:rFonts w:ascii="Times New Roman" w:hAnsi="Times New Roman" w:cs="Times New Roman"/>
          <w:sz w:val="24"/>
          <w:szCs w:val="24"/>
        </w:rPr>
        <w:t xml:space="preserve">on hops </w:t>
      </w:r>
      <w:r w:rsidR="00B80F3E">
        <w:rPr>
          <w:rFonts w:ascii="Times New Roman" w:hAnsi="Times New Roman" w:cs="Times New Roman"/>
          <w:sz w:val="24"/>
          <w:szCs w:val="24"/>
        </w:rPr>
        <w:t>from January 2021</w:t>
      </w:r>
      <w:r w:rsidR="003D0E46">
        <w:rPr>
          <w:rFonts w:ascii="Times New Roman" w:hAnsi="Times New Roman" w:cs="Times New Roman"/>
          <w:sz w:val="24"/>
          <w:szCs w:val="24"/>
        </w:rPr>
        <w:t>,</w:t>
      </w:r>
      <w:r>
        <w:rPr>
          <w:rFonts w:ascii="Times New Roman" w:hAnsi="Times New Roman" w:cs="Times New Roman"/>
          <w:sz w:val="24"/>
          <w:szCs w:val="24"/>
        </w:rPr>
        <w:t xml:space="preserve"> this proposal directly </w:t>
      </w:r>
      <w:r w:rsidR="00554A43">
        <w:rPr>
          <w:rFonts w:ascii="Times New Roman" w:hAnsi="Times New Roman" w:cs="Times New Roman"/>
          <w:sz w:val="24"/>
          <w:szCs w:val="24"/>
        </w:rPr>
        <w:t xml:space="preserve">addresses </w:t>
      </w:r>
      <w:r>
        <w:rPr>
          <w:rFonts w:ascii="Times New Roman" w:hAnsi="Times New Roman" w:cs="Times New Roman"/>
          <w:sz w:val="24"/>
          <w:szCs w:val="24"/>
        </w:rPr>
        <w:t>priority 2</w:t>
      </w:r>
      <w:r w:rsidR="002B2443">
        <w:rPr>
          <w:rFonts w:ascii="Times New Roman" w:hAnsi="Times New Roman" w:cs="Times New Roman"/>
          <w:sz w:val="24"/>
          <w:szCs w:val="24"/>
        </w:rPr>
        <w:t xml:space="preserve"> </w:t>
      </w:r>
      <w:r w:rsidR="00B80F3E">
        <w:rPr>
          <w:rFonts w:ascii="Times New Roman" w:hAnsi="Times New Roman" w:cs="Times New Roman"/>
          <w:sz w:val="24"/>
          <w:szCs w:val="24"/>
        </w:rPr>
        <w:t xml:space="preserve">of </w:t>
      </w:r>
      <w:r w:rsidR="002B2443">
        <w:rPr>
          <w:rFonts w:ascii="Times New Roman" w:hAnsi="Times New Roman" w:cs="Times New Roman"/>
          <w:sz w:val="24"/>
          <w:szCs w:val="24"/>
        </w:rPr>
        <w:t>prioritized general research categories</w:t>
      </w:r>
      <w:r>
        <w:rPr>
          <w:rFonts w:ascii="Times New Roman" w:hAnsi="Times New Roman" w:cs="Times New Roman"/>
          <w:sz w:val="24"/>
          <w:szCs w:val="24"/>
        </w:rPr>
        <w:t xml:space="preserve"> </w:t>
      </w:r>
      <w:r w:rsidR="00334225">
        <w:rPr>
          <w:rFonts w:ascii="Times New Roman" w:hAnsi="Times New Roman" w:cs="Times New Roman"/>
          <w:sz w:val="24"/>
          <w:szCs w:val="24"/>
        </w:rPr>
        <w:t xml:space="preserve">Insect Pest Research </w:t>
      </w:r>
      <w:r>
        <w:rPr>
          <w:rFonts w:ascii="Times New Roman" w:hAnsi="Times New Roman" w:cs="Times New Roman"/>
          <w:sz w:val="24"/>
          <w:szCs w:val="24"/>
        </w:rPr>
        <w:t xml:space="preserve">and </w:t>
      </w:r>
      <w:r w:rsidR="00334225">
        <w:rPr>
          <w:rFonts w:ascii="Times New Roman" w:hAnsi="Times New Roman" w:cs="Times New Roman"/>
          <w:sz w:val="24"/>
          <w:szCs w:val="24"/>
        </w:rPr>
        <w:t xml:space="preserve">specifically </w:t>
      </w:r>
      <w:r w:rsidR="003F624E">
        <w:rPr>
          <w:rFonts w:ascii="Times New Roman" w:hAnsi="Times New Roman" w:cs="Times New Roman"/>
          <w:sz w:val="24"/>
          <w:szCs w:val="24"/>
        </w:rPr>
        <w:t xml:space="preserve">addresses priorities </w:t>
      </w:r>
      <w:r w:rsidR="00677353">
        <w:rPr>
          <w:rFonts w:ascii="Times New Roman" w:hAnsi="Times New Roman" w:cs="Times New Roman"/>
          <w:sz w:val="24"/>
          <w:szCs w:val="24"/>
        </w:rPr>
        <w:t xml:space="preserve">1, 2, 3, 6, &amp; 7 within </w:t>
      </w:r>
      <w:r w:rsidR="00C030FA">
        <w:rPr>
          <w:rFonts w:ascii="Times New Roman" w:hAnsi="Times New Roman" w:cs="Times New Roman"/>
          <w:sz w:val="24"/>
          <w:szCs w:val="24"/>
        </w:rPr>
        <w:t xml:space="preserve">the subcategory for </w:t>
      </w:r>
      <w:r>
        <w:rPr>
          <w:rFonts w:ascii="Times New Roman" w:hAnsi="Times New Roman" w:cs="Times New Roman"/>
          <w:sz w:val="24"/>
          <w:szCs w:val="24"/>
        </w:rPr>
        <w:t xml:space="preserve">“Insect Pest Research” by conducting research to </w:t>
      </w:r>
      <w:r w:rsidRPr="002715B7">
        <w:rPr>
          <w:rFonts w:ascii="Times New Roman" w:hAnsi="Times New Roman" w:cs="Times New Roman"/>
          <w:sz w:val="24"/>
          <w:szCs w:val="24"/>
        </w:rPr>
        <w:t>develop and refine control strategies for the</w:t>
      </w:r>
      <w:r w:rsidR="00554A43">
        <w:rPr>
          <w:rFonts w:ascii="Times New Roman" w:hAnsi="Times New Roman" w:cs="Times New Roman"/>
          <w:sz w:val="24"/>
          <w:szCs w:val="24"/>
        </w:rPr>
        <w:t xml:space="preserve"> </w:t>
      </w:r>
      <w:r w:rsidR="000E1ECC" w:rsidRPr="005A6623">
        <w:rPr>
          <w:rFonts w:ascii="Times New Roman" w:hAnsi="Times New Roman" w:cs="Times New Roman"/>
          <w:sz w:val="24"/>
          <w:szCs w:val="24"/>
        </w:rPr>
        <w:t>h</w:t>
      </w:r>
      <w:r w:rsidRPr="002715B7">
        <w:rPr>
          <w:rFonts w:ascii="Times New Roman" w:hAnsi="Times New Roman" w:cs="Times New Roman"/>
          <w:sz w:val="24"/>
          <w:szCs w:val="24"/>
        </w:rPr>
        <w:t xml:space="preserve">op </w:t>
      </w:r>
      <w:r w:rsidR="000E1ECC">
        <w:rPr>
          <w:rFonts w:ascii="Times New Roman" w:hAnsi="Times New Roman" w:cs="Times New Roman"/>
          <w:sz w:val="24"/>
          <w:szCs w:val="24"/>
        </w:rPr>
        <w:t>a</w:t>
      </w:r>
      <w:r w:rsidRPr="002715B7">
        <w:rPr>
          <w:rFonts w:ascii="Times New Roman" w:hAnsi="Times New Roman" w:cs="Times New Roman"/>
          <w:sz w:val="24"/>
          <w:szCs w:val="24"/>
        </w:rPr>
        <w:t>phid</w:t>
      </w:r>
      <w:r w:rsidR="000E1ECC">
        <w:rPr>
          <w:rFonts w:ascii="Times New Roman" w:hAnsi="Times New Roman" w:cs="Times New Roman"/>
          <w:sz w:val="24"/>
          <w:szCs w:val="24"/>
        </w:rPr>
        <w:t xml:space="preserve"> and</w:t>
      </w:r>
      <w:r w:rsidR="000E1ECC" w:rsidRPr="002715B7">
        <w:rPr>
          <w:rFonts w:ascii="Times New Roman" w:hAnsi="Times New Roman" w:cs="Times New Roman"/>
          <w:sz w:val="24"/>
          <w:szCs w:val="24"/>
        </w:rPr>
        <w:t xml:space="preserve"> </w:t>
      </w:r>
      <w:r>
        <w:rPr>
          <w:rFonts w:ascii="Times New Roman" w:hAnsi="Times New Roman" w:cs="Times New Roman"/>
          <w:sz w:val="24"/>
          <w:szCs w:val="24"/>
        </w:rPr>
        <w:t xml:space="preserve">several pest caterpillars. </w:t>
      </w:r>
      <w:r w:rsidR="00F214E3">
        <w:rPr>
          <w:rFonts w:ascii="Times New Roman" w:hAnsi="Times New Roman" w:cs="Times New Roman"/>
          <w:sz w:val="24"/>
          <w:szCs w:val="24"/>
        </w:rPr>
        <w:t xml:space="preserve">Additionally, Project Leader Walsh has served for many years </w:t>
      </w:r>
      <w:r w:rsidR="00554A43">
        <w:rPr>
          <w:rFonts w:ascii="Times New Roman" w:hAnsi="Times New Roman" w:cs="Times New Roman"/>
          <w:sz w:val="24"/>
          <w:szCs w:val="24"/>
        </w:rPr>
        <w:t xml:space="preserve">as liaison </w:t>
      </w:r>
      <w:r w:rsidR="00F214E3">
        <w:rPr>
          <w:rFonts w:ascii="Times New Roman" w:hAnsi="Times New Roman" w:cs="Times New Roman"/>
          <w:sz w:val="24"/>
          <w:szCs w:val="24"/>
        </w:rPr>
        <w:t xml:space="preserve">between the USDA-IR-4 pesticide registration program and </w:t>
      </w:r>
      <w:r w:rsidR="00C91B16">
        <w:rPr>
          <w:rFonts w:ascii="Times New Roman" w:hAnsi="Times New Roman" w:cs="Times New Roman"/>
          <w:sz w:val="24"/>
          <w:szCs w:val="24"/>
        </w:rPr>
        <w:t xml:space="preserve">the US </w:t>
      </w:r>
      <w:r w:rsidR="00554A43">
        <w:rPr>
          <w:rFonts w:ascii="Times New Roman" w:hAnsi="Times New Roman" w:cs="Times New Roman"/>
          <w:sz w:val="24"/>
          <w:szCs w:val="24"/>
        </w:rPr>
        <w:t>h</w:t>
      </w:r>
      <w:r w:rsidR="00C91B16">
        <w:rPr>
          <w:rFonts w:ascii="Times New Roman" w:hAnsi="Times New Roman" w:cs="Times New Roman"/>
          <w:sz w:val="24"/>
          <w:szCs w:val="24"/>
        </w:rPr>
        <w:t xml:space="preserve">op industry and </w:t>
      </w:r>
      <w:r w:rsidR="00F214E3">
        <w:rPr>
          <w:rFonts w:ascii="Times New Roman" w:hAnsi="Times New Roman" w:cs="Times New Roman"/>
          <w:sz w:val="24"/>
          <w:szCs w:val="24"/>
        </w:rPr>
        <w:t xml:space="preserve">in the process has assisted the hop industry in becoming </w:t>
      </w:r>
      <w:r w:rsidR="00C91B16">
        <w:rPr>
          <w:rFonts w:ascii="Times New Roman" w:hAnsi="Times New Roman" w:cs="Times New Roman"/>
          <w:sz w:val="24"/>
          <w:szCs w:val="24"/>
        </w:rPr>
        <w:t xml:space="preserve">the specialty crop with access to the most advanced crop protection chemistries. </w:t>
      </w:r>
      <w:r w:rsidR="00C80947">
        <w:rPr>
          <w:rFonts w:ascii="Times New Roman" w:hAnsi="Times New Roman" w:cs="Times New Roman"/>
          <w:sz w:val="24"/>
          <w:szCs w:val="24"/>
        </w:rPr>
        <w:t xml:space="preserve">Unfortunately, hop growers are often forbidden to use these targeted and reduced risk pesticides </w:t>
      </w:r>
      <w:r w:rsidR="00554A43">
        <w:rPr>
          <w:rFonts w:ascii="Times New Roman" w:hAnsi="Times New Roman" w:cs="Times New Roman"/>
          <w:sz w:val="24"/>
          <w:szCs w:val="24"/>
        </w:rPr>
        <w:t xml:space="preserve">in hops grown for export markets </w:t>
      </w:r>
      <w:r w:rsidR="00C80947">
        <w:rPr>
          <w:rFonts w:ascii="Times New Roman" w:hAnsi="Times New Roman" w:cs="Times New Roman"/>
          <w:sz w:val="24"/>
          <w:szCs w:val="24"/>
        </w:rPr>
        <w:t xml:space="preserve">due to </w:t>
      </w:r>
      <w:r w:rsidR="00554A43">
        <w:rPr>
          <w:rFonts w:ascii="Times New Roman" w:hAnsi="Times New Roman" w:cs="Times New Roman"/>
          <w:sz w:val="24"/>
          <w:szCs w:val="24"/>
        </w:rPr>
        <w:t>Maximum Residue Level (</w:t>
      </w:r>
      <w:r w:rsidR="00C80947">
        <w:rPr>
          <w:rFonts w:ascii="Times New Roman" w:hAnsi="Times New Roman" w:cs="Times New Roman"/>
          <w:sz w:val="24"/>
          <w:szCs w:val="24"/>
        </w:rPr>
        <w:t>MRL</w:t>
      </w:r>
      <w:r w:rsidR="00554A43">
        <w:rPr>
          <w:rFonts w:ascii="Times New Roman" w:hAnsi="Times New Roman" w:cs="Times New Roman"/>
          <w:sz w:val="24"/>
          <w:szCs w:val="24"/>
        </w:rPr>
        <w:t>)</w:t>
      </w:r>
      <w:r w:rsidR="00C80947">
        <w:rPr>
          <w:rFonts w:ascii="Times New Roman" w:hAnsi="Times New Roman" w:cs="Times New Roman"/>
          <w:sz w:val="24"/>
          <w:szCs w:val="24"/>
        </w:rPr>
        <w:t xml:space="preserve"> issues</w:t>
      </w:r>
      <w:r w:rsidR="00454815">
        <w:rPr>
          <w:rFonts w:ascii="Times New Roman" w:hAnsi="Times New Roman" w:cs="Times New Roman"/>
          <w:sz w:val="24"/>
          <w:szCs w:val="24"/>
        </w:rPr>
        <w:t xml:space="preserve"> and hop </w:t>
      </w:r>
      <w:r w:rsidR="003D0E46">
        <w:rPr>
          <w:rFonts w:ascii="Times New Roman" w:hAnsi="Times New Roman" w:cs="Times New Roman"/>
          <w:sz w:val="24"/>
          <w:szCs w:val="24"/>
        </w:rPr>
        <w:t>merchant-imposed</w:t>
      </w:r>
      <w:r w:rsidR="00454815">
        <w:rPr>
          <w:rFonts w:ascii="Times New Roman" w:hAnsi="Times New Roman" w:cs="Times New Roman"/>
          <w:sz w:val="24"/>
          <w:szCs w:val="24"/>
        </w:rPr>
        <w:t xml:space="preserve"> restrictions</w:t>
      </w:r>
      <w:r w:rsidR="00C80947">
        <w:rPr>
          <w:rFonts w:ascii="Times New Roman" w:hAnsi="Times New Roman" w:cs="Times New Roman"/>
          <w:sz w:val="24"/>
          <w:szCs w:val="24"/>
        </w:rPr>
        <w:t xml:space="preserve">. IR-4 develops US tolerances based on the use of a pesticide at its maximum rate, applied the maximum number of times proposed on the label, with the crop being harvested at its minimum pre-harvest interval (PHI). This results in the greatest quantity of </w:t>
      </w:r>
      <w:r w:rsidR="002973C2">
        <w:rPr>
          <w:rFonts w:ascii="Times New Roman" w:hAnsi="Times New Roman" w:cs="Times New Roman"/>
          <w:sz w:val="24"/>
          <w:szCs w:val="24"/>
        </w:rPr>
        <w:t xml:space="preserve">pesticide </w:t>
      </w:r>
      <w:r w:rsidR="00C80947">
        <w:rPr>
          <w:rFonts w:ascii="Times New Roman" w:hAnsi="Times New Roman" w:cs="Times New Roman"/>
          <w:sz w:val="24"/>
          <w:szCs w:val="24"/>
        </w:rPr>
        <w:t xml:space="preserve">residue that </w:t>
      </w:r>
      <w:r w:rsidR="000E1ECC">
        <w:rPr>
          <w:rFonts w:ascii="Times New Roman" w:hAnsi="Times New Roman" w:cs="Times New Roman"/>
          <w:sz w:val="24"/>
          <w:szCs w:val="24"/>
        </w:rPr>
        <w:t xml:space="preserve">could conceivably </w:t>
      </w:r>
      <w:r w:rsidR="00C80947">
        <w:rPr>
          <w:rFonts w:ascii="Times New Roman" w:hAnsi="Times New Roman" w:cs="Times New Roman"/>
          <w:sz w:val="24"/>
          <w:szCs w:val="24"/>
        </w:rPr>
        <w:t xml:space="preserve">be on the harvested crop. The US tolerance (equivalent to MRL) is then set above these </w:t>
      </w:r>
      <w:r w:rsidR="007C6A6E">
        <w:rPr>
          <w:rFonts w:ascii="Times New Roman" w:hAnsi="Times New Roman" w:cs="Times New Roman"/>
          <w:sz w:val="24"/>
          <w:szCs w:val="24"/>
        </w:rPr>
        <w:t xml:space="preserve">detected </w:t>
      </w:r>
      <w:r w:rsidR="00C80947">
        <w:rPr>
          <w:rFonts w:ascii="Times New Roman" w:hAnsi="Times New Roman" w:cs="Times New Roman"/>
          <w:sz w:val="24"/>
          <w:szCs w:val="24"/>
        </w:rPr>
        <w:t>residue levels</w:t>
      </w:r>
      <w:r w:rsidR="007C6A6E">
        <w:rPr>
          <w:rFonts w:ascii="Times New Roman" w:hAnsi="Times New Roman" w:cs="Times New Roman"/>
          <w:sz w:val="24"/>
          <w:szCs w:val="24"/>
        </w:rPr>
        <w:t xml:space="preserve"> from scrutinized IR-4 residue trials</w:t>
      </w:r>
      <w:r w:rsidR="00C80947">
        <w:rPr>
          <w:rFonts w:ascii="Times New Roman" w:hAnsi="Times New Roman" w:cs="Times New Roman"/>
          <w:sz w:val="24"/>
          <w:szCs w:val="24"/>
        </w:rPr>
        <w:t xml:space="preserve"> to ensure that </w:t>
      </w:r>
      <w:r w:rsidR="008431B4">
        <w:rPr>
          <w:rFonts w:ascii="Times New Roman" w:hAnsi="Times New Roman" w:cs="Times New Roman"/>
          <w:sz w:val="24"/>
          <w:szCs w:val="24"/>
        </w:rPr>
        <w:t xml:space="preserve">the residues of </w:t>
      </w:r>
      <w:r w:rsidR="00E928DC">
        <w:rPr>
          <w:rFonts w:ascii="Times New Roman" w:hAnsi="Times New Roman" w:cs="Times New Roman"/>
          <w:sz w:val="24"/>
          <w:szCs w:val="24"/>
        </w:rPr>
        <w:t xml:space="preserve">a </w:t>
      </w:r>
      <w:r w:rsidR="008431B4">
        <w:rPr>
          <w:rFonts w:ascii="Times New Roman" w:hAnsi="Times New Roman" w:cs="Times New Roman"/>
          <w:sz w:val="24"/>
          <w:szCs w:val="24"/>
        </w:rPr>
        <w:t>pesticide on hops never exceed</w:t>
      </w:r>
      <w:r w:rsidR="00E928DC">
        <w:rPr>
          <w:rFonts w:ascii="Times New Roman" w:hAnsi="Times New Roman" w:cs="Times New Roman"/>
          <w:sz w:val="24"/>
          <w:szCs w:val="24"/>
        </w:rPr>
        <w:t>s</w:t>
      </w:r>
      <w:r w:rsidR="008431B4">
        <w:rPr>
          <w:rFonts w:ascii="Times New Roman" w:hAnsi="Times New Roman" w:cs="Times New Roman"/>
          <w:sz w:val="24"/>
          <w:szCs w:val="24"/>
        </w:rPr>
        <w:t xml:space="preserve"> the tolerance. Rarely will growers apply </w:t>
      </w:r>
      <w:r w:rsidR="00E928DC">
        <w:rPr>
          <w:rFonts w:ascii="Times New Roman" w:hAnsi="Times New Roman" w:cs="Times New Roman"/>
          <w:sz w:val="24"/>
          <w:szCs w:val="24"/>
        </w:rPr>
        <w:t xml:space="preserve">a pesticide </w:t>
      </w:r>
      <w:r w:rsidR="008431B4">
        <w:rPr>
          <w:rFonts w:ascii="Times New Roman" w:hAnsi="Times New Roman" w:cs="Times New Roman"/>
          <w:sz w:val="24"/>
          <w:szCs w:val="24"/>
        </w:rPr>
        <w:t xml:space="preserve">the maximum number of </w:t>
      </w:r>
      <w:r w:rsidR="00D917AC">
        <w:rPr>
          <w:rFonts w:ascii="Times New Roman" w:hAnsi="Times New Roman" w:cs="Times New Roman"/>
          <w:sz w:val="24"/>
          <w:szCs w:val="24"/>
        </w:rPr>
        <w:t xml:space="preserve">permitted </w:t>
      </w:r>
      <w:r w:rsidR="008431B4">
        <w:rPr>
          <w:rFonts w:ascii="Times New Roman" w:hAnsi="Times New Roman" w:cs="Times New Roman"/>
          <w:sz w:val="24"/>
          <w:szCs w:val="24"/>
        </w:rPr>
        <w:t xml:space="preserve">applications at the maximum label rate at the shortest PHI. We propose to </w:t>
      </w:r>
      <w:r w:rsidR="00D917AC">
        <w:rPr>
          <w:rFonts w:ascii="Times New Roman" w:hAnsi="Times New Roman" w:cs="Times New Roman"/>
          <w:sz w:val="24"/>
          <w:szCs w:val="24"/>
        </w:rPr>
        <w:t xml:space="preserve">continue to </w:t>
      </w:r>
      <w:r w:rsidR="008431B4">
        <w:rPr>
          <w:rFonts w:ascii="Times New Roman" w:hAnsi="Times New Roman" w:cs="Times New Roman"/>
          <w:sz w:val="24"/>
          <w:szCs w:val="24"/>
        </w:rPr>
        <w:t>run comprehensive residue trial</w:t>
      </w:r>
      <w:r w:rsidR="00D917AC">
        <w:rPr>
          <w:rFonts w:ascii="Times New Roman" w:hAnsi="Times New Roman" w:cs="Times New Roman"/>
          <w:sz w:val="24"/>
          <w:szCs w:val="24"/>
        </w:rPr>
        <w:t>s</w:t>
      </w:r>
      <w:r w:rsidR="008431B4">
        <w:rPr>
          <w:rFonts w:ascii="Times New Roman" w:hAnsi="Times New Roman" w:cs="Times New Roman"/>
          <w:sz w:val="24"/>
          <w:szCs w:val="24"/>
        </w:rPr>
        <w:t xml:space="preserve"> with most of the commonly used pesticides under use pattern</w:t>
      </w:r>
      <w:r w:rsidR="000E1ECC">
        <w:rPr>
          <w:rFonts w:ascii="Times New Roman" w:hAnsi="Times New Roman" w:cs="Times New Roman"/>
          <w:sz w:val="24"/>
          <w:szCs w:val="24"/>
        </w:rPr>
        <w:t>s</w:t>
      </w:r>
      <w:r w:rsidR="008431B4">
        <w:rPr>
          <w:rFonts w:ascii="Times New Roman" w:hAnsi="Times New Roman" w:cs="Times New Roman"/>
          <w:sz w:val="24"/>
          <w:szCs w:val="24"/>
        </w:rPr>
        <w:t xml:space="preserve"> that are </w:t>
      </w:r>
      <w:r w:rsidR="000E1ECC">
        <w:rPr>
          <w:rFonts w:ascii="Times New Roman" w:hAnsi="Times New Roman" w:cs="Times New Roman"/>
          <w:sz w:val="24"/>
          <w:szCs w:val="24"/>
        </w:rPr>
        <w:t xml:space="preserve">intensive but </w:t>
      </w:r>
      <w:r w:rsidR="008431B4">
        <w:rPr>
          <w:rFonts w:ascii="Times New Roman" w:hAnsi="Times New Roman" w:cs="Times New Roman"/>
          <w:sz w:val="24"/>
          <w:szCs w:val="24"/>
        </w:rPr>
        <w:t>realistic and develop residue decline tables for use by the hop industry.</w:t>
      </w:r>
    </w:p>
    <w:p w14:paraId="0CA5E2B8" w14:textId="52F76F61" w:rsidR="00C4275A" w:rsidRDefault="00C4275A" w:rsidP="002715B7">
      <w:pPr>
        <w:spacing w:after="0"/>
        <w:rPr>
          <w:rFonts w:ascii="Times New Roman" w:hAnsi="Times New Roman" w:cs="Times New Roman"/>
          <w:sz w:val="24"/>
          <w:szCs w:val="24"/>
        </w:rPr>
      </w:pPr>
    </w:p>
    <w:p w14:paraId="7978C177" w14:textId="41F27898" w:rsidR="00C4275A" w:rsidRPr="002715B7" w:rsidRDefault="003D0E46" w:rsidP="002715B7">
      <w:pPr>
        <w:spacing w:after="0"/>
        <w:rPr>
          <w:rFonts w:ascii="Times New Roman" w:hAnsi="Times New Roman" w:cs="Times New Roman"/>
          <w:sz w:val="24"/>
          <w:szCs w:val="24"/>
        </w:rPr>
      </w:pPr>
      <w:r>
        <w:rPr>
          <w:rFonts w:ascii="Times New Roman" w:hAnsi="Times New Roman" w:cs="Times New Roman"/>
          <w:sz w:val="24"/>
          <w:szCs w:val="24"/>
        </w:rPr>
        <w:t>R</w:t>
      </w:r>
      <w:r w:rsidR="00C4275A">
        <w:rPr>
          <w:rFonts w:ascii="Times New Roman" w:hAnsi="Times New Roman" w:cs="Times New Roman"/>
          <w:sz w:val="24"/>
          <w:szCs w:val="24"/>
        </w:rPr>
        <w:t xml:space="preserve">ecent </w:t>
      </w:r>
      <w:r w:rsidR="007B39D3">
        <w:rPr>
          <w:rFonts w:ascii="Times New Roman" w:hAnsi="Times New Roman" w:cs="Times New Roman"/>
          <w:sz w:val="24"/>
          <w:szCs w:val="24"/>
        </w:rPr>
        <w:t xml:space="preserve">studies in several crops and in stored products have demonstrated that the application of </w:t>
      </w:r>
      <w:r w:rsidR="002A2FAF">
        <w:rPr>
          <w:rFonts w:ascii="Times New Roman" w:hAnsi="Times New Roman" w:cs="Times New Roman"/>
          <w:sz w:val="24"/>
          <w:szCs w:val="24"/>
        </w:rPr>
        <w:t>ozonated water has reduced the pesticide residues on the</w:t>
      </w:r>
      <w:r w:rsidR="001B7F01">
        <w:rPr>
          <w:rFonts w:ascii="Times New Roman" w:hAnsi="Times New Roman" w:cs="Times New Roman"/>
          <w:sz w:val="24"/>
          <w:szCs w:val="24"/>
        </w:rPr>
        <w:t xml:space="preserve"> target</w:t>
      </w:r>
      <w:r w:rsidR="002A2FAF">
        <w:rPr>
          <w:rFonts w:ascii="Times New Roman" w:hAnsi="Times New Roman" w:cs="Times New Roman"/>
          <w:sz w:val="24"/>
          <w:szCs w:val="24"/>
        </w:rPr>
        <w:t xml:space="preserve"> crops. We have access </w:t>
      </w:r>
      <w:r w:rsidR="002C7701">
        <w:rPr>
          <w:rFonts w:ascii="Times New Roman" w:hAnsi="Times New Roman" w:cs="Times New Roman"/>
          <w:sz w:val="24"/>
          <w:szCs w:val="24"/>
        </w:rPr>
        <w:t xml:space="preserve">via the WSU Center of Precision and Automated </w:t>
      </w:r>
      <w:r w:rsidR="0068534C">
        <w:rPr>
          <w:rFonts w:ascii="Times New Roman" w:hAnsi="Times New Roman" w:cs="Times New Roman"/>
          <w:sz w:val="24"/>
          <w:szCs w:val="24"/>
        </w:rPr>
        <w:t xml:space="preserve">Agricultural Systems to an airblast sprayer that is </w:t>
      </w:r>
      <w:r w:rsidR="00114696">
        <w:rPr>
          <w:rFonts w:ascii="Times New Roman" w:hAnsi="Times New Roman" w:cs="Times New Roman"/>
          <w:sz w:val="24"/>
          <w:szCs w:val="24"/>
        </w:rPr>
        <w:t>set up to</w:t>
      </w:r>
      <w:r w:rsidR="001B7F01">
        <w:rPr>
          <w:rFonts w:ascii="Times New Roman" w:hAnsi="Times New Roman" w:cs="Times New Roman"/>
          <w:sz w:val="24"/>
          <w:szCs w:val="24"/>
        </w:rPr>
        <w:t xml:space="preserve"> apply</w:t>
      </w:r>
      <w:r w:rsidR="00114696">
        <w:rPr>
          <w:rFonts w:ascii="Times New Roman" w:hAnsi="Times New Roman" w:cs="Times New Roman"/>
          <w:sz w:val="24"/>
          <w:szCs w:val="24"/>
        </w:rPr>
        <w:t xml:space="preserve"> ozonate</w:t>
      </w:r>
      <w:r w:rsidR="001B7F01">
        <w:rPr>
          <w:rFonts w:ascii="Times New Roman" w:hAnsi="Times New Roman" w:cs="Times New Roman"/>
          <w:sz w:val="24"/>
          <w:szCs w:val="24"/>
        </w:rPr>
        <w:t>d</w:t>
      </w:r>
      <w:r w:rsidR="00114696">
        <w:rPr>
          <w:rFonts w:ascii="Times New Roman" w:hAnsi="Times New Roman" w:cs="Times New Roman"/>
          <w:sz w:val="24"/>
          <w:szCs w:val="24"/>
        </w:rPr>
        <w:t xml:space="preserve"> water. We will incorporate th</w:t>
      </w:r>
      <w:r w:rsidR="00FA0343">
        <w:rPr>
          <w:rFonts w:ascii="Times New Roman" w:hAnsi="Times New Roman" w:cs="Times New Roman"/>
          <w:sz w:val="24"/>
          <w:szCs w:val="24"/>
        </w:rPr>
        <w:t>is</w:t>
      </w:r>
      <w:r w:rsidR="00114696">
        <w:rPr>
          <w:rFonts w:ascii="Times New Roman" w:hAnsi="Times New Roman" w:cs="Times New Roman"/>
          <w:sz w:val="24"/>
          <w:szCs w:val="24"/>
        </w:rPr>
        <w:t xml:space="preserve"> technology into our ongoing </w:t>
      </w:r>
      <w:r w:rsidR="00061A11">
        <w:rPr>
          <w:rFonts w:ascii="Times New Roman" w:hAnsi="Times New Roman" w:cs="Times New Roman"/>
          <w:sz w:val="24"/>
          <w:szCs w:val="24"/>
        </w:rPr>
        <w:t xml:space="preserve">research on pesticide residues to quantify if use of this </w:t>
      </w:r>
      <w:r w:rsidR="00FA0343">
        <w:rPr>
          <w:rFonts w:ascii="Times New Roman" w:hAnsi="Times New Roman" w:cs="Times New Roman"/>
          <w:sz w:val="24"/>
          <w:szCs w:val="24"/>
        </w:rPr>
        <w:t xml:space="preserve">ozonating </w:t>
      </w:r>
      <w:r w:rsidR="00061A11">
        <w:rPr>
          <w:rFonts w:ascii="Times New Roman" w:hAnsi="Times New Roman" w:cs="Times New Roman"/>
          <w:sz w:val="24"/>
          <w:szCs w:val="24"/>
        </w:rPr>
        <w:t xml:space="preserve">technology can indeed reduce </w:t>
      </w:r>
      <w:r w:rsidR="006F5B3A">
        <w:rPr>
          <w:rFonts w:ascii="Times New Roman" w:hAnsi="Times New Roman" w:cs="Times New Roman"/>
          <w:sz w:val="24"/>
          <w:szCs w:val="24"/>
        </w:rPr>
        <w:t xml:space="preserve">pesticide residues on harvested hops. </w:t>
      </w:r>
    </w:p>
    <w:p w14:paraId="43278036" w14:textId="77777777" w:rsidR="008B4415" w:rsidRPr="00C8456A" w:rsidRDefault="008B4415" w:rsidP="008B4415">
      <w:pPr>
        <w:spacing w:after="0"/>
        <w:rPr>
          <w:rFonts w:ascii="Times New Roman" w:hAnsi="Times New Roman" w:cs="Times New Roman"/>
          <w:b/>
          <w:sz w:val="16"/>
          <w:szCs w:val="16"/>
        </w:rPr>
      </w:pPr>
    </w:p>
    <w:p w14:paraId="49685CDE" w14:textId="77777777" w:rsidR="00455B58" w:rsidRDefault="002715B7" w:rsidP="00583D07">
      <w:pPr>
        <w:spacing w:after="0"/>
      </w:pPr>
      <w:r w:rsidRPr="00D84C81">
        <w:rPr>
          <w:rFonts w:ascii="Times New Roman" w:hAnsi="Times New Roman" w:cs="Times New Roman"/>
          <w:b/>
          <w:sz w:val="24"/>
          <w:szCs w:val="24"/>
        </w:rPr>
        <w:t>Justification and Importance of Proposed Research:</w:t>
      </w:r>
      <w:r>
        <w:rPr>
          <w:rFonts w:ascii="Times New Roman" w:hAnsi="Times New Roman" w:cs="Times New Roman"/>
          <w:b/>
          <w:sz w:val="24"/>
          <w:szCs w:val="24"/>
        </w:rPr>
        <w:t xml:space="preserve"> </w:t>
      </w:r>
      <w:r w:rsidRPr="002715B7">
        <w:rPr>
          <w:rFonts w:ascii="Times New Roman" w:hAnsi="Times New Roman" w:cs="Times New Roman"/>
          <w:sz w:val="24"/>
          <w:szCs w:val="24"/>
        </w:rPr>
        <w:t xml:space="preserve">Feeding by and/or contamination of hops by infestation of arthropod pests </w:t>
      </w:r>
      <w:r>
        <w:rPr>
          <w:rFonts w:ascii="Times New Roman" w:hAnsi="Times New Roman" w:cs="Times New Roman"/>
          <w:sz w:val="24"/>
          <w:szCs w:val="24"/>
        </w:rPr>
        <w:t>reduces</w:t>
      </w:r>
      <w:r w:rsidRPr="002715B7">
        <w:rPr>
          <w:rFonts w:ascii="Times New Roman" w:hAnsi="Times New Roman" w:cs="Times New Roman"/>
          <w:sz w:val="24"/>
          <w:szCs w:val="24"/>
        </w:rPr>
        <w:t xml:space="preserve"> crop value. The work detailed in this proposal will focus on providing the information required to make recommendations for the evolving hop IPM program</w:t>
      </w:r>
      <w:r w:rsidR="00583D07">
        <w:rPr>
          <w:rFonts w:ascii="Times New Roman" w:hAnsi="Times New Roman" w:cs="Times New Roman"/>
          <w:sz w:val="24"/>
          <w:szCs w:val="24"/>
        </w:rPr>
        <w:t xml:space="preserve">. We will evaluate several candidate insecticides for control of aphids and caterpillar pests. </w:t>
      </w:r>
      <w:r w:rsidR="009F0CDA">
        <w:rPr>
          <w:rFonts w:ascii="Times New Roman" w:hAnsi="Times New Roman" w:cs="Times New Roman"/>
          <w:sz w:val="24"/>
          <w:szCs w:val="24"/>
        </w:rPr>
        <w:t>Cohesively among all of our studies we will consider and evaluate the impact beneficial organisms are providing towards the bioregulation of the pest insects listed above. We will continue our program of evaluating the impact candidate chemistries on predatory mites</w:t>
      </w:r>
      <w:r w:rsidR="00245011">
        <w:rPr>
          <w:rFonts w:ascii="Times New Roman" w:hAnsi="Times New Roman" w:cs="Times New Roman"/>
          <w:sz w:val="24"/>
          <w:szCs w:val="24"/>
        </w:rPr>
        <w:t>.</w:t>
      </w:r>
      <w:r w:rsidR="00EA1833" w:rsidRPr="00EA1833">
        <w:t xml:space="preserve"> </w:t>
      </w:r>
    </w:p>
    <w:p w14:paraId="2675ABFB" w14:textId="77777777" w:rsidR="00455B58" w:rsidRDefault="00455B58" w:rsidP="00583D07">
      <w:pPr>
        <w:spacing w:after="0"/>
      </w:pPr>
    </w:p>
    <w:p w14:paraId="5D6E68FD" w14:textId="0FF087E1" w:rsidR="002715B7" w:rsidRPr="002715B7" w:rsidRDefault="000B1504" w:rsidP="00583D07">
      <w:pPr>
        <w:spacing w:after="0"/>
        <w:rPr>
          <w:rFonts w:ascii="Times New Roman" w:hAnsi="Times New Roman" w:cs="Times New Roman"/>
          <w:sz w:val="24"/>
          <w:szCs w:val="24"/>
        </w:rPr>
      </w:pPr>
      <w:r w:rsidRPr="000B1504">
        <w:rPr>
          <w:rFonts w:ascii="Times New Roman" w:hAnsi="Times New Roman" w:cs="Times New Roman"/>
          <w:sz w:val="24"/>
          <w:szCs w:val="24"/>
        </w:rPr>
        <w:t xml:space="preserve">In 2020 there were 58,641 acres of hops harvested in the PNW. Yields were below average at 1,770 pounds per acre. Prices remained high and gross returns were calculated to be $10,563 per acre. </w:t>
      </w:r>
      <w:r w:rsidR="009F0CDA">
        <w:rPr>
          <w:rFonts w:ascii="Times New Roman" w:hAnsi="Times New Roman" w:cs="Times New Roman"/>
          <w:sz w:val="24"/>
          <w:szCs w:val="24"/>
        </w:rPr>
        <w:t>It is difficult to quantify acreage impacted by each of these pests as well as to quantify loss of crop value, but when populations of these pests are detected</w:t>
      </w:r>
      <w:r w:rsidR="00455B58">
        <w:rPr>
          <w:rFonts w:ascii="Times New Roman" w:hAnsi="Times New Roman" w:cs="Times New Roman"/>
          <w:sz w:val="24"/>
          <w:szCs w:val="24"/>
        </w:rPr>
        <w:t>,</w:t>
      </w:r>
      <w:r w:rsidR="009F0CDA">
        <w:rPr>
          <w:rFonts w:ascii="Times New Roman" w:hAnsi="Times New Roman" w:cs="Times New Roman"/>
          <w:sz w:val="24"/>
          <w:szCs w:val="24"/>
        </w:rPr>
        <w:t xml:space="preserve"> risk</w:t>
      </w:r>
      <w:r w:rsidR="00455B58">
        <w:rPr>
          <w:rFonts w:ascii="Times New Roman" w:hAnsi="Times New Roman" w:cs="Times New Roman"/>
          <w:sz w:val="24"/>
          <w:szCs w:val="24"/>
        </w:rPr>
        <w:t>-</w:t>
      </w:r>
      <w:r w:rsidR="009F0CDA">
        <w:rPr>
          <w:rFonts w:ascii="Times New Roman" w:hAnsi="Times New Roman" w:cs="Times New Roman"/>
          <w:sz w:val="24"/>
          <w:szCs w:val="24"/>
        </w:rPr>
        <w:t xml:space="preserve">averse growers tend to apply insecticides. MRL issues have inhibited the application of </w:t>
      </w:r>
      <w:r w:rsidR="004B2533">
        <w:rPr>
          <w:rFonts w:ascii="Times New Roman" w:hAnsi="Times New Roman" w:cs="Times New Roman"/>
          <w:sz w:val="24"/>
          <w:szCs w:val="24"/>
        </w:rPr>
        <w:t xml:space="preserve">recently registered </w:t>
      </w:r>
      <w:r w:rsidR="009F0CDA">
        <w:rPr>
          <w:rFonts w:ascii="Times New Roman" w:hAnsi="Times New Roman" w:cs="Times New Roman"/>
          <w:sz w:val="24"/>
          <w:szCs w:val="24"/>
        </w:rPr>
        <w:t xml:space="preserve">biorational </w:t>
      </w:r>
      <w:r w:rsidR="009F0CDA">
        <w:rPr>
          <w:rFonts w:ascii="Times New Roman" w:hAnsi="Times New Roman" w:cs="Times New Roman"/>
          <w:sz w:val="24"/>
          <w:szCs w:val="24"/>
        </w:rPr>
        <w:lastRenderedPageBreak/>
        <w:t>insecticides and unfortunately the broad</w:t>
      </w:r>
      <w:r w:rsidR="003A5F0A">
        <w:rPr>
          <w:rFonts w:ascii="Times New Roman" w:hAnsi="Times New Roman" w:cs="Times New Roman"/>
          <w:sz w:val="24"/>
          <w:szCs w:val="24"/>
        </w:rPr>
        <w:t>-</w:t>
      </w:r>
      <w:r w:rsidR="009F0CDA">
        <w:rPr>
          <w:rFonts w:ascii="Times New Roman" w:hAnsi="Times New Roman" w:cs="Times New Roman"/>
          <w:sz w:val="24"/>
          <w:szCs w:val="24"/>
        </w:rPr>
        <w:t>spectrum disruptive insecticide bifenthrin is used. Some merchants have reduced restrictions on chlorantrani</w:t>
      </w:r>
      <w:r w:rsidR="009B6944">
        <w:rPr>
          <w:rFonts w:ascii="Times New Roman" w:hAnsi="Times New Roman" w:cs="Times New Roman"/>
          <w:sz w:val="24"/>
          <w:szCs w:val="24"/>
        </w:rPr>
        <w:t>li</w:t>
      </w:r>
      <w:r w:rsidR="009F0CDA">
        <w:rPr>
          <w:rFonts w:ascii="Times New Roman" w:hAnsi="Times New Roman" w:cs="Times New Roman"/>
          <w:sz w:val="24"/>
          <w:szCs w:val="24"/>
        </w:rPr>
        <w:t xml:space="preserve">prole. </w:t>
      </w:r>
      <w:r w:rsidR="004B2533">
        <w:rPr>
          <w:rFonts w:ascii="Times New Roman" w:hAnsi="Times New Roman" w:cs="Times New Roman"/>
          <w:sz w:val="24"/>
          <w:szCs w:val="24"/>
        </w:rPr>
        <w:t>Cyantrani</w:t>
      </w:r>
      <w:r w:rsidR="009B6944">
        <w:rPr>
          <w:rFonts w:ascii="Times New Roman" w:hAnsi="Times New Roman" w:cs="Times New Roman"/>
          <w:sz w:val="24"/>
          <w:szCs w:val="24"/>
        </w:rPr>
        <w:t>li</w:t>
      </w:r>
      <w:r w:rsidR="004B2533">
        <w:rPr>
          <w:rFonts w:ascii="Times New Roman" w:hAnsi="Times New Roman" w:cs="Times New Roman"/>
          <w:sz w:val="24"/>
          <w:szCs w:val="24"/>
        </w:rPr>
        <w:t>prole has great prospects for caterpillar control and cyantrani</w:t>
      </w:r>
      <w:r w:rsidR="009B6944">
        <w:rPr>
          <w:rFonts w:ascii="Times New Roman" w:hAnsi="Times New Roman" w:cs="Times New Roman"/>
          <w:sz w:val="24"/>
          <w:szCs w:val="24"/>
        </w:rPr>
        <w:t>li</w:t>
      </w:r>
      <w:r w:rsidR="004B2533">
        <w:rPr>
          <w:rFonts w:ascii="Times New Roman" w:hAnsi="Times New Roman" w:cs="Times New Roman"/>
          <w:sz w:val="24"/>
          <w:szCs w:val="24"/>
        </w:rPr>
        <w:t>prole is a high priority for hop growers in the EU</w:t>
      </w:r>
      <w:r w:rsidR="00455B58">
        <w:rPr>
          <w:rFonts w:ascii="Times New Roman" w:hAnsi="Times New Roman" w:cs="Times New Roman"/>
          <w:sz w:val="24"/>
          <w:szCs w:val="24"/>
        </w:rPr>
        <w:t>,</w:t>
      </w:r>
      <w:r w:rsidR="004B2533">
        <w:rPr>
          <w:rFonts w:ascii="Times New Roman" w:hAnsi="Times New Roman" w:cs="Times New Roman"/>
          <w:sz w:val="24"/>
          <w:szCs w:val="24"/>
        </w:rPr>
        <w:t xml:space="preserve"> so MRL issues could potentially be overcome quickly. </w:t>
      </w:r>
      <w:r w:rsidR="00EA1833">
        <w:rPr>
          <w:rFonts w:ascii="Times New Roman" w:hAnsi="Times New Roman" w:cs="Times New Roman"/>
          <w:sz w:val="24"/>
          <w:szCs w:val="24"/>
        </w:rPr>
        <w:t>Other reduced risk pesticides will be incorporated into our comprehensive residue program.</w:t>
      </w:r>
      <w:r w:rsidR="003850C6">
        <w:rPr>
          <w:rFonts w:ascii="Times New Roman" w:hAnsi="Times New Roman" w:cs="Times New Roman"/>
          <w:sz w:val="24"/>
          <w:szCs w:val="24"/>
        </w:rPr>
        <w:t xml:space="preserve"> MRLs </w:t>
      </w:r>
      <w:r w:rsidR="00655734">
        <w:rPr>
          <w:rFonts w:ascii="Times New Roman" w:hAnsi="Times New Roman" w:cs="Times New Roman"/>
          <w:sz w:val="24"/>
          <w:szCs w:val="24"/>
        </w:rPr>
        <w:t xml:space="preserve">in key </w:t>
      </w:r>
      <w:r w:rsidR="0013488C">
        <w:rPr>
          <w:rFonts w:ascii="Times New Roman" w:hAnsi="Times New Roman" w:cs="Times New Roman"/>
          <w:sz w:val="24"/>
          <w:szCs w:val="24"/>
        </w:rPr>
        <w:t>target markets, most notably the European Union</w:t>
      </w:r>
      <w:r w:rsidR="00455B58">
        <w:rPr>
          <w:rFonts w:ascii="Times New Roman" w:hAnsi="Times New Roman" w:cs="Times New Roman"/>
          <w:sz w:val="24"/>
          <w:szCs w:val="24"/>
        </w:rPr>
        <w:t>,</w:t>
      </w:r>
      <w:r w:rsidR="0013488C">
        <w:rPr>
          <w:rFonts w:ascii="Times New Roman" w:hAnsi="Times New Roman" w:cs="Times New Roman"/>
          <w:sz w:val="24"/>
          <w:szCs w:val="24"/>
        </w:rPr>
        <w:t xml:space="preserve"> </w:t>
      </w:r>
      <w:r w:rsidR="00655734">
        <w:rPr>
          <w:rFonts w:ascii="Times New Roman" w:hAnsi="Times New Roman" w:cs="Times New Roman"/>
          <w:sz w:val="24"/>
          <w:szCs w:val="24"/>
        </w:rPr>
        <w:t xml:space="preserve">will continue to be of paramount importance for the hop </w:t>
      </w:r>
      <w:r w:rsidR="0013488C">
        <w:rPr>
          <w:rFonts w:ascii="Times New Roman" w:hAnsi="Times New Roman" w:cs="Times New Roman"/>
          <w:sz w:val="24"/>
          <w:szCs w:val="24"/>
        </w:rPr>
        <w:t xml:space="preserve">industry. Our comprehensive residue studies coupled </w:t>
      </w:r>
      <w:r w:rsidR="00B500C8">
        <w:rPr>
          <w:rFonts w:ascii="Times New Roman" w:hAnsi="Times New Roman" w:cs="Times New Roman"/>
          <w:sz w:val="24"/>
          <w:szCs w:val="24"/>
        </w:rPr>
        <w:t xml:space="preserve">with the emerging technology of using ozonated water treatments could lead to reduced pesticide residues on hops </w:t>
      </w:r>
      <w:r w:rsidR="004C2BC0">
        <w:rPr>
          <w:rFonts w:ascii="Times New Roman" w:hAnsi="Times New Roman" w:cs="Times New Roman"/>
          <w:sz w:val="24"/>
          <w:szCs w:val="24"/>
        </w:rPr>
        <w:t xml:space="preserve">and lead to decreased restrictions on hop </w:t>
      </w:r>
      <w:r w:rsidR="00455B58">
        <w:rPr>
          <w:rFonts w:ascii="Times New Roman" w:hAnsi="Times New Roman" w:cs="Times New Roman"/>
          <w:sz w:val="24"/>
          <w:szCs w:val="24"/>
        </w:rPr>
        <w:t>growers’</w:t>
      </w:r>
      <w:r w:rsidR="004C2BC0">
        <w:rPr>
          <w:rFonts w:ascii="Times New Roman" w:hAnsi="Times New Roman" w:cs="Times New Roman"/>
          <w:sz w:val="24"/>
          <w:szCs w:val="24"/>
        </w:rPr>
        <w:t xml:space="preserve"> ability to apply pesticides that are </w:t>
      </w:r>
      <w:r w:rsidR="00F51879">
        <w:rPr>
          <w:rFonts w:ascii="Times New Roman" w:hAnsi="Times New Roman" w:cs="Times New Roman"/>
          <w:sz w:val="24"/>
          <w:szCs w:val="24"/>
        </w:rPr>
        <w:t>complete</w:t>
      </w:r>
      <w:r w:rsidR="00455B58">
        <w:rPr>
          <w:rFonts w:ascii="Times New Roman" w:hAnsi="Times New Roman" w:cs="Times New Roman"/>
          <w:sz w:val="24"/>
          <w:szCs w:val="24"/>
        </w:rPr>
        <w:t>ly</w:t>
      </w:r>
      <w:r w:rsidR="00F51879">
        <w:rPr>
          <w:rFonts w:ascii="Times New Roman" w:hAnsi="Times New Roman" w:cs="Times New Roman"/>
          <w:sz w:val="24"/>
          <w:szCs w:val="24"/>
        </w:rPr>
        <w:t xml:space="preserve"> permitted and legal to apply but are forbidden </w:t>
      </w:r>
      <w:r w:rsidR="00571DF0">
        <w:rPr>
          <w:rFonts w:ascii="Times New Roman" w:hAnsi="Times New Roman" w:cs="Times New Roman"/>
          <w:sz w:val="24"/>
          <w:szCs w:val="24"/>
        </w:rPr>
        <w:t xml:space="preserve">by hop merchant restrictions. </w:t>
      </w:r>
    </w:p>
    <w:p w14:paraId="6FBE95C9" w14:textId="77777777" w:rsidR="002715B7" w:rsidRPr="00C8456A" w:rsidRDefault="002715B7" w:rsidP="008B4415">
      <w:pPr>
        <w:spacing w:after="0"/>
        <w:rPr>
          <w:rFonts w:ascii="Times New Roman" w:hAnsi="Times New Roman" w:cs="Times New Roman"/>
          <w:b/>
          <w:sz w:val="16"/>
          <w:szCs w:val="16"/>
        </w:rPr>
      </w:pPr>
    </w:p>
    <w:p w14:paraId="7D854517" w14:textId="77777777" w:rsidR="00245011" w:rsidRDefault="00245011" w:rsidP="004B2533">
      <w:pPr>
        <w:spacing w:after="0"/>
        <w:rPr>
          <w:rFonts w:ascii="Times New Roman" w:hAnsi="Times New Roman" w:cs="Times New Roman"/>
          <w:b/>
          <w:sz w:val="24"/>
          <w:szCs w:val="24"/>
        </w:rPr>
      </w:pPr>
    </w:p>
    <w:p w14:paraId="7CB873F8" w14:textId="77777777" w:rsidR="004B2533" w:rsidRPr="00FA2A8B" w:rsidRDefault="004B2533" w:rsidP="004B2533">
      <w:pPr>
        <w:spacing w:after="0"/>
        <w:rPr>
          <w:rFonts w:ascii="Times New Roman" w:hAnsi="Times New Roman" w:cs="Times New Roman"/>
          <w:b/>
          <w:sz w:val="24"/>
          <w:szCs w:val="24"/>
        </w:rPr>
      </w:pPr>
      <w:r w:rsidRPr="00FA2A8B">
        <w:rPr>
          <w:rFonts w:ascii="Times New Roman" w:hAnsi="Times New Roman" w:cs="Times New Roman"/>
          <w:b/>
          <w:sz w:val="24"/>
          <w:szCs w:val="24"/>
        </w:rPr>
        <w:t>Objectives:</w:t>
      </w:r>
    </w:p>
    <w:p w14:paraId="4B45F198" w14:textId="30E06BAE" w:rsidR="004B2533" w:rsidRPr="004B2533" w:rsidRDefault="004B2533" w:rsidP="004B2533">
      <w:pPr>
        <w:spacing w:after="0"/>
        <w:rPr>
          <w:rFonts w:ascii="Times New Roman" w:hAnsi="Times New Roman" w:cs="Times New Roman"/>
          <w:sz w:val="24"/>
          <w:szCs w:val="24"/>
        </w:rPr>
      </w:pPr>
      <w:r w:rsidRPr="004B2533">
        <w:rPr>
          <w:rFonts w:ascii="Times New Roman" w:hAnsi="Times New Roman" w:cs="Times New Roman"/>
          <w:sz w:val="24"/>
          <w:szCs w:val="24"/>
        </w:rPr>
        <w:t xml:space="preserve">a) Field test candidate insecticides for their efficacy against aphids </w:t>
      </w:r>
      <w:r>
        <w:rPr>
          <w:rFonts w:ascii="Times New Roman" w:hAnsi="Times New Roman" w:cs="Times New Roman"/>
          <w:sz w:val="24"/>
          <w:szCs w:val="24"/>
        </w:rPr>
        <w:t xml:space="preserve">and impacts on beneficial arthropods </w:t>
      </w:r>
      <w:r w:rsidRPr="004B2533">
        <w:rPr>
          <w:rFonts w:ascii="Times New Roman" w:hAnsi="Times New Roman" w:cs="Times New Roman"/>
          <w:sz w:val="24"/>
          <w:szCs w:val="24"/>
        </w:rPr>
        <w:t>on research plots located at IAREC near Prosser, WA.</w:t>
      </w:r>
      <w:r w:rsidR="00E14F68">
        <w:rPr>
          <w:rFonts w:ascii="Times New Roman" w:hAnsi="Times New Roman" w:cs="Times New Roman"/>
          <w:sz w:val="24"/>
          <w:szCs w:val="24"/>
        </w:rPr>
        <w:t xml:space="preserve"> (</w:t>
      </w:r>
      <w:proofErr w:type="gramStart"/>
      <w:r w:rsidR="00E14F68">
        <w:rPr>
          <w:rFonts w:ascii="Times New Roman" w:hAnsi="Times New Roman" w:cs="Times New Roman"/>
          <w:sz w:val="24"/>
          <w:szCs w:val="24"/>
        </w:rPr>
        <w:t>ongoing</w:t>
      </w:r>
      <w:proofErr w:type="gramEnd"/>
      <w:r w:rsidR="00E14F68">
        <w:rPr>
          <w:rFonts w:ascii="Times New Roman" w:hAnsi="Times New Roman" w:cs="Times New Roman"/>
          <w:sz w:val="24"/>
          <w:szCs w:val="24"/>
        </w:rPr>
        <w:t xml:space="preserve"> objective)</w:t>
      </w:r>
    </w:p>
    <w:p w14:paraId="555241D6" w14:textId="777BFA71" w:rsidR="004B2533" w:rsidRPr="004B2533" w:rsidRDefault="00EA1833" w:rsidP="004B2533">
      <w:pPr>
        <w:spacing w:after="0"/>
        <w:rPr>
          <w:rFonts w:ascii="Times New Roman" w:hAnsi="Times New Roman" w:cs="Times New Roman"/>
          <w:sz w:val="24"/>
          <w:szCs w:val="24"/>
        </w:rPr>
      </w:pPr>
      <w:r>
        <w:rPr>
          <w:rFonts w:ascii="Times New Roman" w:hAnsi="Times New Roman" w:cs="Times New Roman"/>
          <w:sz w:val="24"/>
          <w:szCs w:val="24"/>
        </w:rPr>
        <w:t>b</w:t>
      </w:r>
      <w:r w:rsidR="004B2533">
        <w:rPr>
          <w:rFonts w:ascii="Times New Roman" w:hAnsi="Times New Roman" w:cs="Times New Roman"/>
          <w:sz w:val="24"/>
          <w:szCs w:val="24"/>
        </w:rPr>
        <w:t xml:space="preserve">) </w:t>
      </w:r>
      <w:r w:rsidR="004B2533" w:rsidRPr="004B2533">
        <w:rPr>
          <w:rFonts w:ascii="Times New Roman" w:hAnsi="Times New Roman" w:cs="Times New Roman"/>
          <w:sz w:val="24"/>
          <w:szCs w:val="24"/>
        </w:rPr>
        <w:t xml:space="preserve">Field test efficacy of insecticides on other pests if opportunities arise. </w:t>
      </w:r>
      <w:r w:rsidR="00E14F68">
        <w:rPr>
          <w:rFonts w:ascii="Times New Roman" w:hAnsi="Times New Roman" w:cs="Times New Roman"/>
          <w:sz w:val="24"/>
          <w:szCs w:val="24"/>
        </w:rPr>
        <w:t>(</w:t>
      </w:r>
      <w:proofErr w:type="gramStart"/>
      <w:r w:rsidR="00E14F68">
        <w:rPr>
          <w:rFonts w:ascii="Times New Roman" w:hAnsi="Times New Roman" w:cs="Times New Roman"/>
          <w:sz w:val="24"/>
          <w:szCs w:val="24"/>
        </w:rPr>
        <w:t>ongoing</w:t>
      </w:r>
      <w:proofErr w:type="gramEnd"/>
      <w:r w:rsidR="00E14F68">
        <w:rPr>
          <w:rFonts w:ascii="Times New Roman" w:hAnsi="Times New Roman" w:cs="Times New Roman"/>
          <w:sz w:val="24"/>
          <w:szCs w:val="24"/>
        </w:rPr>
        <w:t xml:space="preserve"> objective)</w:t>
      </w:r>
    </w:p>
    <w:p w14:paraId="6029FCC9" w14:textId="19997731" w:rsidR="00C8456A" w:rsidRDefault="00455B58" w:rsidP="008B4415">
      <w:pPr>
        <w:spacing w:after="0"/>
        <w:rPr>
          <w:rFonts w:ascii="Times New Roman" w:hAnsi="Times New Roman" w:cs="Times New Roman"/>
          <w:sz w:val="24"/>
          <w:szCs w:val="24"/>
        </w:rPr>
      </w:pPr>
      <w:r>
        <w:rPr>
          <w:rFonts w:ascii="Times New Roman" w:hAnsi="Times New Roman" w:cs="Times New Roman"/>
          <w:sz w:val="24"/>
          <w:szCs w:val="24"/>
        </w:rPr>
        <w:t>c</w:t>
      </w:r>
      <w:r w:rsidR="00C8456A">
        <w:rPr>
          <w:rFonts w:ascii="Times New Roman" w:hAnsi="Times New Roman" w:cs="Times New Roman"/>
          <w:sz w:val="24"/>
          <w:szCs w:val="24"/>
        </w:rPr>
        <w:t>) Field test candidate insecticides for control of pest caterpillars.</w:t>
      </w:r>
      <w:r w:rsidR="00E14F68">
        <w:rPr>
          <w:rFonts w:ascii="Times New Roman" w:hAnsi="Times New Roman" w:cs="Times New Roman"/>
          <w:sz w:val="24"/>
          <w:szCs w:val="24"/>
        </w:rPr>
        <w:t xml:space="preserve"> (</w:t>
      </w:r>
      <w:proofErr w:type="gramStart"/>
      <w:r w:rsidR="00E14F68">
        <w:rPr>
          <w:rFonts w:ascii="Times New Roman" w:hAnsi="Times New Roman" w:cs="Times New Roman"/>
          <w:sz w:val="24"/>
          <w:szCs w:val="24"/>
        </w:rPr>
        <w:t>ongoing</w:t>
      </w:r>
      <w:proofErr w:type="gramEnd"/>
      <w:r w:rsidR="00E14F68">
        <w:rPr>
          <w:rFonts w:ascii="Times New Roman" w:hAnsi="Times New Roman" w:cs="Times New Roman"/>
          <w:sz w:val="24"/>
          <w:szCs w:val="24"/>
        </w:rPr>
        <w:t xml:space="preserve"> objective)</w:t>
      </w:r>
    </w:p>
    <w:p w14:paraId="45D38F6C" w14:textId="2F7E4BF9" w:rsidR="00F35139" w:rsidRPr="00F35139" w:rsidRDefault="00455B58" w:rsidP="008B4415">
      <w:pPr>
        <w:spacing w:after="0"/>
        <w:rPr>
          <w:rFonts w:ascii="Times New Roman" w:hAnsi="Times New Roman" w:cs="Times New Roman"/>
          <w:bCs/>
          <w:sz w:val="24"/>
          <w:szCs w:val="24"/>
        </w:rPr>
      </w:pPr>
      <w:r>
        <w:rPr>
          <w:rFonts w:ascii="Times New Roman" w:hAnsi="Times New Roman" w:cs="Times New Roman"/>
          <w:bCs/>
          <w:sz w:val="24"/>
          <w:szCs w:val="24"/>
        </w:rPr>
        <w:t>d</w:t>
      </w:r>
      <w:r w:rsidR="00F35139" w:rsidRPr="005A6623">
        <w:rPr>
          <w:rFonts w:ascii="Times New Roman" w:hAnsi="Times New Roman" w:cs="Times New Roman"/>
          <w:bCs/>
          <w:sz w:val="24"/>
          <w:szCs w:val="24"/>
        </w:rPr>
        <w:t xml:space="preserve">) Evaluate impact of candidate pesticides on beneficial mites. </w:t>
      </w:r>
      <w:r w:rsidR="00242E8C">
        <w:rPr>
          <w:rFonts w:ascii="Times New Roman" w:hAnsi="Times New Roman" w:cs="Times New Roman"/>
          <w:bCs/>
          <w:sz w:val="24"/>
          <w:szCs w:val="24"/>
        </w:rPr>
        <w:t>(</w:t>
      </w:r>
      <w:proofErr w:type="gramStart"/>
      <w:r w:rsidR="00242E8C">
        <w:rPr>
          <w:rFonts w:ascii="Times New Roman" w:hAnsi="Times New Roman" w:cs="Times New Roman"/>
          <w:bCs/>
          <w:sz w:val="24"/>
          <w:szCs w:val="24"/>
        </w:rPr>
        <w:t>ongoing</w:t>
      </w:r>
      <w:proofErr w:type="gramEnd"/>
      <w:r w:rsidR="00242E8C">
        <w:rPr>
          <w:rFonts w:ascii="Times New Roman" w:hAnsi="Times New Roman" w:cs="Times New Roman"/>
          <w:bCs/>
          <w:sz w:val="24"/>
          <w:szCs w:val="24"/>
        </w:rPr>
        <w:t xml:space="preserve"> objective)</w:t>
      </w:r>
    </w:p>
    <w:p w14:paraId="60320B5B" w14:textId="68BC954F" w:rsidR="0012294E" w:rsidRDefault="00455B58" w:rsidP="00C8456A">
      <w:pPr>
        <w:spacing w:after="0"/>
        <w:rPr>
          <w:rFonts w:ascii="Times New Roman" w:hAnsi="Times New Roman" w:cs="Times New Roman"/>
          <w:sz w:val="24"/>
          <w:szCs w:val="24"/>
        </w:rPr>
      </w:pPr>
      <w:r>
        <w:rPr>
          <w:rFonts w:ascii="Times New Roman" w:hAnsi="Times New Roman" w:cs="Times New Roman"/>
          <w:sz w:val="24"/>
          <w:szCs w:val="24"/>
        </w:rPr>
        <w:t>e</w:t>
      </w:r>
      <w:r w:rsidR="00EA1833">
        <w:rPr>
          <w:rFonts w:ascii="Times New Roman" w:hAnsi="Times New Roman" w:cs="Times New Roman"/>
          <w:sz w:val="24"/>
          <w:szCs w:val="24"/>
        </w:rPr>
        <w:t xml:space="preserve">) </w:t>
      </w:r>
      <w:r w:rsidR="00C66344" w:rsidRPr="00C66344">
        <w:rPr>
          <w:rFonts w:ascii="Times New Roman" w:hAnsi="Times New Roman" w:cs="Times New Roman"/>
          <w:sz w:val="24"/>
          <w:szCs w:val="24"/>
        </w:rPr>
        <w:t>Investigate factors contributing to export market viability for U.S. hops, including anticipated loss or lack of MRLs for key pest management tools in key export markets.</w:t>
      </w:r>
      <w:r w:rsidR="00E14F68">
        <w:rPr>
          <w:rFonts w:ascii="Times New Roman" w:hAnsi="Times New Roman" w:cs="Times New Roman"/>
          <w:sz w:val="24"/>
          <w:szCs w:val="24"/>
        </w:rPr>
        <w:t xml:space="preserve"> (</w:t>
      </w:r>
      <w:r>
        <w:rPr>
          <w:rFonts w:ascii="Times New Roman" w:hAnsi="Times New Roman" w:cs="Times New Roman"/>
          <w:sz w:val="24"/>
          <w:szCs w:val="24"/>
        </w:rPr>
        <w:t>Year</w:t>
      </w:r>
      <w:r w:rsidR="00E14F68">
        <w:rPr>
          <w:rFonts w:ascii="Times New Roman" w:hAnsi="Times New Roman" w:cs="Times New Roman"/>
          <w:sz w:val="24"/>
          <w:szCs w:val="24"/>
        </w:rPr>
        <w:t xml:space="preserve"> 2 of </w:t>
      </w:r>
      <w:r w:rsidR="00571DF0">
        <w:rPr>
          <w:rFonts w:ascii="Times New Roman" w:hAnsi="Times New Roman" w:cs="Times New Roman"/>
          <w:sz w:val="24"/>
          <w:szCs w:val="24"/>
        </w:rPr>
        <w:t>5</w:t>
      </w:r>
      <w:r w:rsidR="00E14F68">
        <w:rPr>
          <w:rFonts w:ascii="Times New Roman" w:hAnsi="Times New Roman" w:cs="Times New Roman"/>
          <w:sz w:val="24"/>
          <w:szCs w:val="24"/>
        </w:rPr>
        <w:t>)</w:t>
      </w:r>
    </w:p>
    <w:p w14:paraId="174A51C2" w14:textId="40D22FB5" w:rsidR="00EE3A30" w:rsidRPr="003F3E5C" w:rsidRDefault="00455B58" w:rsidP="00C8456A">
      <w:pPr>
        <w:spacing w:after="0"/>
        <w:rPr>
          <w:rFonts w:ascii="Times New Roman" w:hAnsi="Times New Roman" w:cs="Times New Roman"/>
          <w:sz w:val="24"/>
          <w:szCs w:val="24"/>
        </w:rPr>
      </w:pPr>
      <w:r>
        <w:rPr>
          <w:rFonts w:ascii="Times New Roman" w:hAnsi="Times New Roman" w:cs="Times New Roman"/>
          <w:sz w:val="24"/>
          <w:szCs w:val="24"/>
        </w:rPr>
        <w:t>f</w:t>
      </w:r>
      <w:r w:rsidR="003F3E5C">
        <w:rPr>
          <w:rFonts w:ascii="Times New Roman" w:hAnsi="Times New Roman" w:cs="Times New Roman"/>
          <w:sz w:val="24"/>
          <w:szCs w:val="24"/>
        </w:rPr>
        <w:t xml:space="preserve">) </w:t>
      </w:r>
      <w:r w:rsidR="00003DAC">
        <w:rPr>
          <w:rFonts w:ascii="Times New Roman" w:hAnsi="Times New Roman" w:cs="Times New Roman"/>
          <w:sz w:val="24"/>
          <w:szCs w:val="24"/>
        </w:rPr>
        <w:t xml:space="preserve">Test the application of ozonated </w:t>
      </w:r>
      <w:r w:rsidR="008210A1">
        <w:rPr>
          <w:rFonts w:ascii="Times New Roman" w:hAnsi="Times New Roman" w:cs="Times New Roman"/>
          <w:sz w:val="24"/>
          <w:szCs w:val="24"/>
        </w:rPr>
        <w:t xml:space="preserve">water via airblast sprayer towards reducing pesticide residues. </w:t>
      </w:r>
      <w:r w:rsidR="00571DF0">
        <w:rPr>
          <w:rFonts w:ascii="Times New Roman" w:hAnsi="Times New Roman" w:cs="Times New Roman"/>
          <w:sz w:val="24"/>
          <w:szCs w:val="24"/>
        </w:rPr>
        <w:t>(</w:t>
      </w:r>
      <w:r>
        <w:rPr>
          <w:rFonts w:ascii="Times New Roman" w:hAnsi="Times New Roman" w:cs="Times New Roman"/>
          <w:sz w:val="24"/>
          <w:szCs w:val="24"/>
        </w:rPr>
        <w:t>Year</w:t>
      </w:r>
      <w:r w:rsidR="00571DF0">
        <w:rPr>
          <w:rFonts w:ascii="Times New Roman" w:hAnsi="Times New Roman" w:cs="Times New Roman"/>
          <w:sz w:val="24"/>
          <w:szCs w:val="24"/>
        </w:rPr>
        <w:t xml:space="preserve"> 1 of 3)</w:t>
      </w:r>
    </w:p>
    <w:p w14:paraId="1576E07D" w14:textId="77777777" w:rsidR="003F3E5C" w:rsidRDefault="003F3E5C" w:rsidP="00C8456A">
      <w:pPr>
        <w:spacing w:after="0"/>
        <w:rPr>
          <w:rFonts w:ascii="Times New Roman" w:hAnsi="Times New Roman" w:cs="Times New Roman"/>
          <w:b/>
          <w:sz w:val="24"/>
          <w:szCs w:val="24"/>
        </w:rPr>
      </w:pPr>
    </w:p>
    <w:p w14:paraId="0C8EE96A" w14:textId="06D848B8" w:rsidR="00C8456A" w:rsidRPr="00231C58" w:rsidRDefault="00C8456A" w:rsidP="00C8456A">
      <w:pPr>
        <w:spacing w:after="0"/>
        <w:rPr>
          <w:rFonts w:ascii="Times New Roman" w:hAnsi="Times New Roman" w:cs="Times New Roman"/>
          <w:b/>
          <w:sz w:val="24"/>
          <w:szCs w:val="24"/>
        </w:rPr>
      </w:pPr>
      <w:r w:rsidRPr="00231C58">
        <w:rPr>
          <w:rFonts w:ascii="Times New Roman" w:hAnsi="Times New Roman" w:cs="Times New Roman"/>
          <w:b/>
          <w:sz w:val="24"/>
          <w:szCs w:val="24"/>
        </w:rPr>
        <w:t xml:space="preserve">Procedures/Methods to </w:t>
      </w:r>
      <w:r w:rsidR="008E4805">
        <w:rPr>
          <w:rFonts w:ascii="Times New Roman" w:hAnsi="Times New Roman" w:cs="Times New Roman"/>
          <w:b/>
          <w:sz w:val="24"/>
          <w:szCs w:val="24"/>
        </w:rPr>
        <w:t>A</w:t>
      </w:r>
      <w:r w:rsidRPr="00231C58">
        <w:rPr>
          <w:rFonts w:ascii="Times New Roman" w:hAnsi="Times New Roman" w:cs="Times New Roman"/>
          <w:b/>
          <w:sz w:val="24"/>
          <w:szCs w:val="24"/>
        </w:rPr>
        <w:t xml:space="preserve">ccomplish </w:t>
      </w:r>
      <w:r w:rsidR="008E4805">
        <w:rPr>
          <w:rFonts w:ascii="Times New Roman" w:hAnsi="Times New Roman" w:cs="Times New Roman"/>
          <w:b/>
          <w:sz w:val="24"/>
          <w:szCs w:val="24"/>
        </w:rPr>
        <w:t>O</w:t>
      </w:r>
      <w:r w:rsidRPr="00231C58">
        <w:rPr>
          <w:rFonts w:ascii="Times New Roman" w:hAnsi="Times New Roman" w:cs="Times New Roman"/>
          <w:b/>
          <w:sz w:val="24"/>
          <w:szCs w:val="24"/>
        </w:rPr>
        <w:t>bjectives:</w:t>
      </w:r>
    </w:p>
    <w:p w14:paraId="619D3E5B" w14:textId="77777777" w:rsidR="00C8456A" w:rsidRDefault="00C8456A" w:rsidP="008B4415">
      <w:pPr>
        <w:spacing w:after="0"/>
        <w:rPr>
          <w:rFonts w:ascii="Times New Roman" w:hAnsi="Times New Roman" w:cs="Times New Roman"/>
          <w:sz w:val="24"/>
          <w:szCs w:val="24"/>
        </w:rPr>
      </w:pPr>
    </w:p>
    <w:p w14:paraId="686E0166" w14:textId="5A7D05A0" w:rsidR="00C8456A" w:rsidRPr="00C8456A" w:rsidRDefault="00C8456A" w:rsidP="00C8456A">
      <w:pPr>
        <w:spacing w:after="0"/>
        <w:rPr>
          <w:rFonts w:ascii="Times New Roman" w:hAnsi="Times New Roman" w:cs="Times New Roman"/>
          <w:sz w:val="24"/>
          <w:szCs w:val="24"/>
        </w:rPr>
      </w:pPr>
      <w:r w:rsidRPr="00C8456A">
        <w:rPr>
          <w:rFonts w:ascii="Times New Roman" w:hAnsi="Times New Roman" w:cs="Times New Roman"/>
          <w:b/>
          <w:sz w:val="24"/>
          <w:szCs w:val="24"/>
        </w:rPr>
        <w:t xml:space="preserve">a) </w:t>
      </w:r>
      <w:r w:rsidR="003E1B74">
        <w:rPr>
          <w:rFonts w:ascii="Times New Roman" w:hAnsi="Times New Roman" w:cs="Times New Roman"/>
          <w:b/>
          <w:sz w:val="24"/>
          <w:szCs w:val="24"/>
        </w:rPr>
        <w:t>Aphicide efficacy</w:t>
      </w:r>
      <w:r w:rsidRPr="00C8456A">
        <w:rPr>
          <w:rFonts w:ascii="Times New Roman" w:hAnsi="Times New Roman" w:cs="Times New Roman"/>
          <w:b/>
          <w:sz w:val="24"/>
          <w:szCs w:val="24"/>
        </w:rPr>
        <w:t xml:space="preserve"> and impacts</w:t>
      </w:r>
      <w:r w:rsidR="003E1B74">
        <w:rPr>
          <w:rFonts w:ascii="Times New Roman" w:hAnsi="Times New Roman" w:cs="Times New Roman"/>
          <w:b/>
          <w:sz w:val="24"/>
          <w:szCs w:val="24"/>
        </w:rPr>
        <w:t>.</w:t>
      </w:r>
      <w:r w:rsidRPr="00C8456A">
        <w:rPr>
          <w:rFonts w:ascii="Times New Roman" w:hAnsi="Times New Roman" w:cs="Times New Roman"/>
          <w:b/>
          <w:sz w:val="24"/>
          <w:szCs w:val="24"/>
        </w:rPr>
        <w:t xml:space="preserve"> </w:t>
      </w:r>
      <w:r w:rsidRPr="00C8456A">
        <w:rPr>
          <w:rFonts w:ascii="Times New Roman" w:hAnsi="Times New Roman" w:cs="Times New Roman"/>
          <w:sz w:val="24"/>
          <w:szCs w:val="24"/>
        </w:rPr>
        <w:t>Research plots will be set up in hop yards on the WSU Prosser Irrigated Agriculture Research and Extension Center</w:t>
      </w:r>
      <w:r w:rsidR="003A5F0A">
        <w:rPr>
          <w:rFonts w:ascii="Times New Roman" w:hAnsi="Times New Roman" w:cs="Times New Roman"/>
          <w:sz w:val="24"/>
          <w:szCs w:val="24"/>
        </w:rPr>
        <w:t xml:space="preserve"> (IAREC)</w:t>
      </w:r>
      <w:r w:rsidRPr="00C8456A">
        <w:rPr>
          <w:rFonts w:ascii="Times New Roman" w:hAnsi="Times New Roman" w:cs="Times New Roman"/>
          <w:sz w:val="24"/>
          <w:szCs w:val="24"/>
        </w:rPr>
        <w:t>.</w:t>
      </w:r>
      <w:r>
        <w:rPr>
          <w:rFonts w:ascii="Times New Roman" w:hAnsi="Times New Roman" w:cs="Times New Roman"/>
          <w:sz w:val="24"/>
          <w:szCs w:val="24"/>
        </w:rPr>
        <w:t xml:space="preserve"> </w:t>
      </w:r>
      <w:r w:rsidRPr="00C8456A">
        <w:rPr>
          <w:rFonts w:ascii="Times New Roman" w:hAnsi="Times New Roman" w:cs="Times New Roman"/>
          <w:sz w:val="24"/>
          <w:szCs w:val="24"/>
        </w:rPr>
        <w:t>We anticipate receiving several protocols this year from registrants with candidate numbered compounds. These protocols will be followed to the best of our abilit</w:t>
      </w:r>
      <w:r w:rsidR="00325784">
        <w:rPr>
          <w:rFonts w:ascii="Times New Roman" w:hAnsi="Times New Roman" w:cs="Times New Roman"/>
          <w:sz w:val="24"/>
          <w:szCs w:val="24"/>
        </w:rPr>
        <w:t>y. Additional compounds that will</w:t>
      </w:r>
      <w:r w:rsidRPr="00C8456A">
        <w:rPr>
          <w:rFonts w:ascii="Times New Roman" w:hAnsi="Times New Roman" w:cs="Times New Roman"/>
          <w:sz w:val="24"/>
          <w:szCs w:val="24"/>
        </w:rPr>
        <w:t xml:space="preserve"> be screened for efficacy against aphids will include sulfoxaflor, imidacloprid, and cyantraniliprole.</w:t>
      </w:r>
      <w:r w:rsidR="00325784">
        <w:rPr>
          <w:rFonts w:ascii="Times New Roman" w:hAnsi="Times New Roman" w:cs="Times New Roman"/>
          <w:sz w:val="24"/>
          <w:szCs w:val="24"/>
        </w:rPr>
        <w:t xml:space="preserve"> </w:t>
      </w:r>
      <w:r w:rsidR="00325784" w:rsidRPr="00325784">
        <w:rPr>
          <w:rFonts w:ascii="Times New Roman" w:hAnsi="Times New Roman" w:cs="Times New Roman"/>
          <w:sz w:val="24"/>
          <w:szCs w:val="24"/>
        </w:rPr>
        <w:t xml:space="preserve">If no protocols are received, published and/or registered label rates </w:t>
      </w:r>
      <w:r w:rsidR="00CC1729">
        <w:rPr>
          <w:rFonts w:ascii="Times New Roman" w:hAnsi="Times New Roman" w:cs="Times New Roman"/>
          <w:sz w:val="24"/>
          <w:szCs w:val="24"/>
        </w:rPr>
        <w:t xml:space="preserve">from other registered crops </w:t>
      </w:r>
      <w:r w:rsidR="00325784" w:rsidRPr="00325784">
        <w:rPr>
          <w:rFonts w:ascii="Times New Roman" w:hAnsi="Times New Roman" w:cs="Times New Roman"/>
          <w:sz w:val="24"/>
          <w:szCs w:val="24"/>
        </w:rPr>
        <w:t xml:space="preserve">will be applied. Plots will be established in late spring or early summer. All applications will be made by airblast sprayer. Ten to fifteen leaves will be collected from each plot once per week and transported to the laboratory, where the number </w:t>
      </w:r>
      <w:r w:rsidR="003A5F0A">
        <w:rPr>
          <w:rFonts w:ascii="Times New Roman" w:hAnsi="Times New Roman" w:cs="Times New Roman"/>
          <w:sz w:val="24"/>
          <w:szCs w:val="24"/>
        </w:rPr>
        <w:t xml:space="preserve">of </w:t>
      </w:r>
      <w:r w:rsidR="00325784">
        <w:rPr>
          <w:rFonts w:ascii="Times New Roman" w:hAnsi="Times New Roman" w:cs="Times New Roman"/>
          <w:sz w:val="24"/>
          <w:szCs w:val="24"/>
        </w:rPr>
        <w:t>aphids</w:t>
      </w:r>
      <w:r w:rsidR="00325784" w:rsidRPr="00325784">
        <w:rPr>
          <w:rFonts w:ascii="Times New Roman" w:hAnsi="Times New Roman" w:cs="Times New Roman"/>
          <w:sz w:val="24"/>
          <w:szCs w:val="24"/>
        </w:rPr>
        <w:t xml:space="preserve"> and other relevant </w:t>
      </w:r>
      <w:r w:rsidR="00325784">
        <w:rPr>
          <w:rFonts w:ascii="Times New Roman" w:hAnsi="Times New Roman" w:cs="Times New Roman"/>
          <w:sz w:val="24"/>
          <w:szCs w:val="24"/>
        </w:rPr>
        <w:t xml:space="preserve">pest and beneficial </w:t>
      </w:r>
      <w:r w:rsidR="00325784" w:rsidRPr="00325784">
        <w:rPr>
          <w:rFonts w:ascii="Times New Roman" w:hAnsi="Times New Roman" w:cs="Times New Roman"/>
          <w:sz w:val="24"/>
          <w:szCs w:val="24"/>
        </w:rPr>
        <w:t xml:space="preserve">arthropods will be quantified. </w:t>
      </w:r>
      <w:r w:rsidR="00325784">
        <w:rPr>
          <w:rFonts w:ascii="Times New Roman" w:hAnsi="Times New Roman" w:cs="Times New Roman"/>
          <w:sz w:val="24"/>
          <w:szCs w:val="24"/>
        </w:rPr>
        <w:t>Additionally, the number of aphids that are parasitized will be counted to calculate percent parasitism. Aphid</w:t>
      </w:r>
      <w:r w:rsidR="00325784" w:rsidRPr="00325784">
        <w:rPr>
          <w:rFonts w:ascii="Times New Roman" w:hAnsi="Times New Roman" w:cs="Times New Roman"/>
          <w:sz w:val="24"/>
          <w:szCs w:val="24"/>
        </w:rPr>
        <w:t xml:space="preserve"> and other arthropod populations from treated plots will be compared with those from nontreated control plots. </w:t>
      </w:r>
      <w:r w:rsidR="00325784">
        <w:rPr>
          <w:rFonts w:ascii="Times New Roman" w:hAnsi="Times New Roman" w:cs="Times New Roman"/>
          <w:sz w:val="24"/>
          <w:szCs w:val="24"/>
        </w:rPr>
        <w:t>Aphid</w:t>
      </w:r>
      <w:r w:rsidR="00325784" w:rsidRPr="00325784">
        <w:rPr>
          <w:rFonts w:ascii="Times New Roman" w:hAnsi="Times New Roman" w:cs="Times New Roman"/>
          <w:sz w:val="24"/>
          <w:szCs w:val="24"/>
        </w:rPr>
        <w:t xml:space="preserve"> abundance will be analyzed by repeated measures analysis of variance and population means of </w:t>
      </w:r>
      <w:r w:rsidR="00325784">
        <w:rPr>
          <w:rFonts w:ascii="Times New Roman" w:hAnsi="Times New Roman" w:cs="Times New Roman"/>
          <w:sz w:val="24"/>
          <w:szCs w:val="24"/>
        </w:rPr>
        <w:t>aphids</w:t>
      </w:r>
      <w:r w:rsidR="00325784" w:rsidRPr="00325784">
        <w:rPr>
          <w:rFonts w:ascii="Times New Roman" w:hAnsi="Times New Roman" w:cs="Times New Roman"/>
          <w:sz w:val="24"/>
          <w:szCs w:val="24"/>
        </w:rPr>
        <w:t xml:space="preserve"> in treated plots will be compared in pairwise tests with populations in the</w:t>
      </w:r>
      <w:r w:rsidR="00936585">
        <w:rPr>
          <w:rFonts w:ascii="Times New Roman" w:hAnsi="Times New Roman" w:cs="Times New Roman"/>
          <w:sz w:val="24"/>
          <w:szCs w:val="24"/>
        </w:rPr>
        <w:t xml:space="preserve"> untreated</w:t>
      </w:r>
      <w:r w:rsidR="00325784" w:rsidRPr="00325784">
        <w:rPr>
          <w:rFonts w:ascii="Times New Roman" w:hAnsi="Times New Roman" w:cs="Times New Roman"/>
          <w:sz w:val="24"/>
          <w:szCs w:val="24"/>
        </w:rPr>
        <w:t xml:space="preserve"> control plots.</w:t>
      </w:r>
    </w:p>
    <w:p w14:paraId="5F3885D0" w14:textId="77777777" w:rsidR="00C8456A" w:rsidRPr="00C8456A" w:rsidRDefault="00C8456A" w:rsidP="008B4415">
      <w:pPr>
        <w:spacing w:after="0"/>
        <w:rPr>
          <w:rFonts w:ascii="Times New Roman" w:hAnsi="Times New Roman" w:cs="Times New Roman"/>
          <w:sz w:val="24"/>
          <w:szCs w:val="24"/>
        </w:rPr>
      </w:pPr>
    </w:p>
    <w:p w14:paraId="16725BA6" w14:textId="77777777" w:rsidR="003E1B74" w:rsidRPr="00221AB7" w:rsidRDefault="00EA1833" w:rsidP="0012294E">
      <w:pPr>
        <w:spacing w:after="0"/>
        <w:rPr>
          <w:rFonts w:ascii="Times New Roman" w:hAnsi="Times New Roman" w:cs="Times New Roman"/>
          <w:bCs/>
          <w:sz w:val="24"/>
          <w:szCs w:val="24"/>
        </w:rPr>
      </w:pPr>
      <w:r w:rsidRPr="005A6623">
        <w:rPr>
          <w:rFonts w:ascii="Times New Roman" w:hAnsi="Times New Roman" w:cs="Times New Roman"/>
          <w:b/>
          <w:sz w:val="24"/>
          <w:szCs w:val="24"/>
        </w:rPr>
        <w:t>b</w:t>
      </w:r>
      <w:r w:rsidR="00321013" w:rsidRPr="005A6623">
        <w:rPr>
          <w:rFonts w:ascii="Times New Roman" w:hAnsi="Times New Roman" w:cs="Times New Roman"/>
          <w:b/>
          <w:sz w:val="24"/>
          <w:szCs w:val="24"/>
        </w:rPr>
        <w:t xml:space="preserve">) </w:t>
      </w:r>
      <w:r w:rsidR="003E1B74">
        <w:rPr>
          <w:rFonts w:ascii="Times New Roman" w:hAnsi="Times New Roman" w:cs="Times New Roman"/>
          <w:b/>
          <w:sz w:val="24"/>
          <w:szCs w:val="24"/>
        </w:rPr>
        <w:t xml:space="preserve">Pesticide tests on other pests. </w:t>
      </w:r>
      <w:r w:rsidR="00221AB7">
        <w:rPr>
          <w:rFonts w:ascii="Times New Roman" w:hAnsi="Times New Roman" w:cs="Times New Roman"/>
          <w:bCs/>
          <w:sz w:val="24"/>
          <w:szCs w:val="24"/>
        </w:rPr>
        <w:t>As part of our ongoing commitment to service to the hop industry, we include this objective annually at no charge, reflecting our willingness and ability to rise to the occasion should an unanticipated pest pose a problem during the project year.</w:t>
      </w:r>
    </w:p>
    <w:p w14:paraId="3C32B60A" w14:textId="77777777" w:rsidR="003E1B74" w:rsidRDefault="003E1B74" w:rsidP="0012294E">
      <w:pPr>
        <w:spacing w:after="0"/>
        <w:rPr>
          <w:rFonts w:ascii="Times New Roman" w:hAnsi="Times New Roman" w:cs="Times New Roman"/>
          <w:bCs/>
          <w:sz w:val="24"/>
          <w:szCs w:val="24"/>
        </w:rPr>
      </w:pPr>
    </w:p>
    <w:p w14:paraId="6CCB2D9E" w14:textId="528A066D" w:rsidR="00A24B6D" w:rsidRPr="00BA0FD4" w:rsidRDefault="003E1B74" w:rsidP="00A24B6D">
      <w:pPr>
        <w:spacing w:after="0"/>
        <w:rPr>
          <w:rFonts w:ascii="Times New Roman" w:hAnsi="Times New Roman" w:cs="Times New Roman"/>
          <w:sz w:val="24"/>
          <w:szCs w:val="24"/>
        </w:rPr>
      </w:pPr>
      <w:r>
        <w:rPr>
          <w:rFonts w:ascii="Times New Roman" w:hAnsi="Times New Roman" w:cs="Times New Roman"/>
          <w:b/>
          <w:sz w:val="24"/>
          <w:szCs w:val="24"/>
        </w:rPr>
        <w:t>c) I</w:t>
      </w:r>
      <w:r w:rsidR="00A24B6D" w:rsidRPr="005A6623">
        <w:rPr>
          <w:rFonts w:ascii="Times New Roman" w:hAnsi="Times New Roman" w:cs="Times New Roman"/>
          <w:b/>
          <w:sz w:val="24"/>
          <w:szCs w:val="24"/>
        </w:rPr>
        <w:t>nsecticide</w:t>
      </w:r>
      <w:r>
        <w:rPr>
          <w:rFonts w:ascii="Times New Roman" w:hAnsi="Times New Roman" w:cs="Times New Roman"/>
          <w:b/>
          <w:sz w:val="24"/>
          <w:szCs w:val="24"/>
        </w:rPr>
        <w:t xml:space="preserve"> trial</w:t>
      </w:r>
      <w:r w:rsidR="00A24B6D" w:rsidRPr="005A6623">
        <w:rPr>
          <w:rFonts w:ascii="Times New Roman" w:hAnsi="Times New Roman" w:cs="Times New Roman"/>
          <w:b/>
          <w:sz w:val="24"/>
          <w:szCs w:val="24"/>
        </w:rPr>
        <w:t xml:space="preserve">s </w:t>
      </w:r>
      <w:r>
        <w:rPr>
          <w:rFonts w:ascii="Times New Roman" w:hAnsi="Times New Roman" w:cs="Times New Roman"/>
          <w:b/>
          <w:sz w:val="24"/>
          <w:szCs w:val="24"/>
        </w:rPr>
        <w:t>on</w:t>
      </w:r>
      <w:r w:rsidR="00A24B6D" w:rsidRPr="005A6623">
        <w:rPr>
          <w:rFonts w:ascii="Times New Roman" w:hAnsi="Times New Roman" w:cs="Times New Roman"/>
          <w:b/>
          <w:sz w:val="24"/>
          <w:szCs w:val="24"/>
        </w:rPr>
        <w:t xml:space="preserve"> caterpillars.</w:t>
      </w:r>
      <w:r w:rsidR="00A24B6D">
        <w:rPr>
          <w:rFonts w:ascii="Times New Roman" w:hAnsi="Times New Roman" w:cs="Times New Roman"/>
          <w:sz w:val="24"/>
          <w:szCs w:val="24"/>
        </w:rPr>
        <w:t xml:space="preserve"> If </w:t>
      </w:r>
      <w:r w:rsidR="00324BAC">
        <w:rPr>
          <w:rFonts w:ascii="Times New Roman" w:hAnsi="Times New Roman" w:cs="Times New Roman"/>
          <w:sz w:val="24"/>
          <w:szCs w:val="24"/>
        </w:rPr>
        <w:t xml:space="preserve">we become aware of a hop yard in which </w:t>
      </w:r>
      <w:r w:rsidR="00A24B6D">
        <w:rPr>
          <w:rFonts w:ascii="Times New Roman" w:hAnsi="Times New Roman" w:cs="Times New Roman"/>
          <w:sz w:val="24"/>
          <w:szCs w:val="24"/>
        </w:rPr>
        <w:t>sufficient populations of pest caterpillars develop</w:t>
      </w:r>
      <w:r w:rsidR="00324BAC">
        <w:rPr>
          <w:rFonts w:ascii="Times New Roman" w:hAnsi="Times New Roman" w:cs="Times New Roman"/>
          <w:sz w:val="24"/>
          <w:szCs w:val="24"/>
        </w:rPr>
        <w:t>,</w:t>
      </w:r>
      <w:r w:rsidR="00A24B6D">
        <w:rPr>
          <w:rFonts w:ascii="Times New Roman" w:hAnsi="Times New Roman" w:cs="Times New Roman"/>
          <w:sz w:val="24"/>
          <w:szCs w:val="24"/>
        </w:rPr>
        <w:t xml:space="preserve"> </w:t>
      </w:r>
      <w:r w:rsidR="00BA0FD4">
        <w:rPr>
          <w:rFonts w:ascii="Times New Roman" w:hAnsi="Times New Roman" w:cs="Times New Roman"/>
          <w:sz w:val="24"/>
          <w:szCs w:val="24"/>
        </w:rPr>
        <w:t>we will conduct an insecticide efficacy trial with the candidate insecticides spinetoram, chlorantrani</w:t>
      </w:r>
      <w:r w:rsidR="003A5F0A">
        <w:rPr>
          <w:rFonts w:ascii="Times New Roman" w:hAnsi="Times New Roman" w:cs="Times New Roman"/>
          <w:sz w:val="24"/>
          <w:szCs w:val="24"/>
        </w:rPr>
        <w:t>li</w:t>
      </w:r>
      <w:r w:rsidR="00BA0FD4">
        <w:rPr>
          <w:rFonts w:ascii="Times New Roman" w:hAnsi="Times New Roman" w:cs="Times New Roman"/>
          <w:sz w:val="24"/>
          <w:szCs w:val="24"/>
        </w:rPr>
        <w:t>prole, cyantrani</w:t>
      </w:r>
      <w:r w:rsidR="003A5F0A">
        <w:rPr>
          <w:rFonts w:ascii="Times New Roman" w:hAnsi="Times New Roman" w:cs="Times New Roman"/>
          <w:sz w:val="24"/>
          <w:szCs w:val="24"/>
        </w:rPr>
        <w:t>li</w:t>
      </w:r>
      <w:r w:rsidR="00BA0FD4">
        <w:rPr>
          <w:rFonts w:ascii="Times New Roman" w:hAnsi="Times New Roman" w:cs="Times New Roman"/>
          <w:sz w:val="24"/>
          <w:szCs w:val="24"/>
        </w:rPr>
        <w:t xml:space="preserve">prole, </w:t>
      </w:r>
      <w:r w:rsidR="00BA0FD4" w:rsidRPr="00BA0FD4">
        <w:rPr>
          <w:rFonts w:ascii="Times New Roman" w:hAnsi="Times New Roman" w:cs="Times New Roman"/>
          <w:i/>
          <w:sz w:val="24"/>
          <w:szCs w:val="24"/>
        </w:rPr>
        <w:t>Bacillus thuringiensis</w:t>
      </w:r>
      <w:r w:rsidR="00A24B6D">
        <w:rPr>
          <w:rFonts w:ascii="Times New Roman" w:hAnsi="Times New Roman" w:cs="Times New Roman"/>
          <w:sz w:val="24"/>
          <w:szCs w:val="24"/>
        </w:rPr>
        <w:t xml:space="preserve"> </w:t>
      </w:r>
      <w:r w:rsidR="00BA0FD4">
        <w:rPr>
          <w:rFonts w:ascii="Times New Roman" w:hAnsi="Times New Roman" w:cs="Times New Roman"/>
          <w:sz w:val="24"/>
          <w:szCs w:val="24"/>
        </w:rPr>
        <w:t>and em</w:t>
      </w:r>
      <w:r w:rsidR="003A5F0A">
        <w:rPr>
          <w:rFonts w:ascii="Times New Roman" w:hAnsi="Times New Roman" w:cs="Times New Roman"/>
          <w:sz w:val="24"/>
          <w:szCs w:val="24"/>
        </w:rPr>
        <w:t>a</w:t>
      </w:r>
      <w:r w:rsidR="00BA0FD4">
        <w:rPr>
          <w:rFonts w:ascii="Times New Roman" w:hAnsi="Times New Roman" w:cs="Times New Roman"/>
          <w:sz w:val="24"/>
          <w:szCs w:val="24"/>
        </w:rPr>
        <w:t xml:space="preserve">mectin benzoate. Bifenthrin will serve as the standard. Plot size and configuration will depend on the site. We will monitor the plots before and post treatment </w:t>
      </w:r>
      <w:r w:rsidR="00324BAC" w:rsidRPr="004A159B">
        <w:rPr>
          <w:rFonts w:ascii="Times New Roman" w:hAnsi="Times New Roman" w:cs="Times New Roman"/>
          <w:sz w:val="24"/>
          <w:szCs w:val="24"/>
        </w:rPr>
        <w:t xml:space="preserve">by shaking 10 individual hop vines into </w:t>
      </w:r>
      <w:r w:rsidR="00324BAC">
        <w:rPr>
          <w:rFonts w:ascii="Times New Roman" w:hAnsi="Times New Roman" w:cs="Times New Roman"/>
          <w:sz w:val="24"/>
          <w:szCs w:val="24"/>
        </w:rPr>
        <w:t>our 0.5m</w:t>
      </w:r>
      <w:r w:rsidR="00324BAC">
        <w:rPr>
          <w:rFonts w:ascii="Times New Roman" w:hAnsi="Times New Roman" w:cs="Times New Roman"/>
          <w:sz w:val="24"/>
          <w:szCs w:val="24"/>
          <w:vertAlign w:val="superscript"/>
        </w:rPr>
        <w:t>2</w:t>
      </w:r>
      <w:r w:rsidR="00324BAC">
        <w:rPr>
          <w:rFonts w:ascii="Times New Roman" w:hAnsi="Times New Roman" w:cs="Times New Roman"/>
          <w:sz w:val="24"/>
          <w:szCs w:val="24"/>
        </w:rPr>
        <w:t xml:space="preserve"> research funnel</w:t>
      </w:r>
      <w:r w:rsidR="00324BAC" w:rsidRPr="004A159B">
        <w:rPr>
          <w:rFonts w:ascii="Times New Roman" w:hAnsi="Times New Roman" w:cs="Times New Roman"/>
          <w:sz w:val="24"/>
          <w:szCs w:val="24"/>
        </w:rPr>
        <w:t xml:space="preserve">. The caterpillars and other arthropods that drop from the canopy </w:t>
      </w:r>
      <w:r w:rsidR="00324BAC">
        <w:rPr>
          <w:rFonts w:ascii="Times New Roman" w:hAnsi="Times New Roman" w:cs="Times New Roman"/>
          <w:sz w:val="24"/>
          <w:szCs w:val="24"/>
        </w:rPr>
        <w:t>into the funnel will be swept into a jar of 70% alcohol. The jars will be transported to the Hop Research Facility located at IAREC and the arthropods captured will be</w:t>
      </w:r>
      <w:r w:rsidR="00324BAC" w:rsidRPr="004A159B">
        <w:rPr>
          <w:rFonts w:ascii="Times New Roman" w:hAnsi="Times New Roman" w:cs="Times New Roman"/>
          <w:sz w:val="24"/>
          <w:szCs w:val="24"/>
        </w:rPr>
        <w:t xml:space="preserve"> identified and quantified.</w:t>
      </w:r>
      <w:r w:rsidR="00324BAC">
        <w:rPr>
          <w:rFonts w:ascii="Times New Roman" w:hAnsi="Times New Roman" w:cs="Times New Roman"/>
          <w:sz w:val="24"/>
          <w:szCs w:val="24"/>
        </w:rPr>
        <w:t xml:space="preserve"> Resulting data will be analyzed and recommendations developed.</w:t>
      </w:r>
    </w:p>
    <w:p w14:paraId="49A1ED50" w14:textId="77777777" w:rsidR="004A1F97" w:rsidRDefault="004A1F97" w:rsidP="008B4415">
      <w:pPr>
        <w:spacing w:after="0"/>
        <w:rPr>
          <w:rFonts w:ascii="Times New Roman" w:hAnsi="Times New Roman" w:cs="Times New Roman"/>
          <w:sz w:val="24"/>
          <w:szCs w:val="24"/>
        </w:rPr>
      </w:pPr>
    </w:p>
    <w:p w14:paraId="6419EF4D" w14:textId="2B250F28" w:rsidR="008B4415" w:rsidRDefault="001F0649" w:rsidP="008B4415">
      <w:pPr>
        <w:spacing w:after="0"/>
        <w:rPr>
          <w:rFonts w:ascii="Times New Roman" w:hAnsi="Times New Roman" w:cs="Times New Roman"/>
          <w:sz w:val="24"/>
          <w:szCs w:val="24"/>
        </w:rPr>
      </w:pPr>
      <w:r>
        <w:rPr>
          <w:rFonts w:ascii="Times New Roman" w:hAnsi="Times New Roman" w:cs="Times New Roman"/>
          <w:b/>
          <w:sz w:val="24"/>
          <w:szCs w:val="24"/>
        </w:rPr>
        <w:t>d</w:t>
      </w:r>
      <w:r w:rsidR="008B4415" w:rsidRPr="005A6623">
        <w:rPr>
          <w:rFonts w:ascii="Times New Roman" w:hAnsi="Times New Roman" w:cs="Times New Roman"/>
          <w:b/>
          <w:sz w:val="24"/>
          <w:szCs w:val="24"/>
        </w:rPr>
        <w:t xml:space="preserve">) </w:t>
      </w:r>
      <w:r w:rsidR="00F35139">
        <w:rPr>
          <w:rFonts w:ascii="Times New Roman" w:hAnsi="Times New Roman" w:cs="Times New Roman"/>
          <w:b/>
          <w:sz w:val="24"/>
          <w:szCs w:val="24"/>
        </w:rPr>
        <w:t xml:space="preserve">Pesticide </w:t>
      </w:r>
      <w:r w:rsidR="008B4415" w:rsidRPr="005A6623">
        <w:rPr>
          <w:rFonts w:ascii="Times New Roman" w:hAnsi="Times New Roman" w:cs="Times New Roman"/>
          <w:b/>
          <w:sz w:val="24"/>
          <w:szCs w:val="24"/>
        </w:rPr>
        <w:t>impact</w:t>
      </w:r>
      <w:r w:rsidR="00F35139">
        <w:rPr>
          <w:rFonts w:ascii="Times New Roman" w:hAnsi="Times New Roman" w:cs="Times New Roman"/>
          <w:b/>
          <w:sz w:val="24"/>
          <w:szCs w:val="24"/>
        </w:rPr>
        <w:t>s</w:t>
      </w:r>
      <w:r w:rsidR="008B4415" w:rsidRPr="005A6623">
        <w:rPr>
          <w:rFonts w:ascii="Times New Roman" w:hAnsi="Times New Roman" w:cs="Times New Roman"/>
          <w:b/>
          <w:sz w:val="24"/>
          <w:szCs w:val="24"/>
        </w:rPr>
        <w:t xml:space="preserve"> on beneficial mites.</w:t>
      </w:r>
      <w:r w:rsidR="008B4415" w:rsidRPr="00E235C0">
        <w:rPr>
          <w:rFonts w:ascii="Times New Roman" w:hAnsi="Times New Roman" w:cs="Times New Roman"/>
          <w:b/>
          <w:sz w:val="24"/>
          <w:szCs w:val="24"/>
        </w:rPr>
        <w:t xml:space="preserve"> </w:t>
      </w:r>
      <w:r w:rsidR="008B4415" w:rsidRPr="00E235C0">
        <w:rPr>
          <w:rFonts w:ascii="Times New Roman" w:hAnsi="Times New Roman" w:cs="Times New Roman"/>
          <w:sz w:val="24"/>
          <w:szCs w:val="24"/>
        </w:rPr>
        <w:t xml:space="preserve">Predatory mite colonies have been established and will continue to be maintained at the Hop Research Facility in Prosser. A list of candidate insecticides and miticides that require pesticide safety studies will be determined in communication with the Hop Industry Plant Protection Committee. </w:t>
      </w:r>
      <w:r w:rsidR="008B4415">
        <w:rPr>
          <w:rFonts w:ascii="Times New Roman" w:hAnsi="Times New Roman" w:cs="Times New Roman"/>
          <w:sz w:val="24"/>
          <w:szCs w:val="24"/>
        </w:rPr>
        <w:t xml:space="preserve">We are going to suggest looking at </w:t>
      </w:r>
      <w:r w:rsidR="002715B7">
        <w:rPr>
          <w:rFonts w:ascii="Times New Roman" w:hAnsi="Times New Roman" w:cs="Times New Roman"/>
          <w:sz w:val="24"/>
          <w:szCs w:val="24"/>
        </w:rPr>
        <w:t>several</w:t>
      </w:r>
      <w:r w:rsidR="0090335B">
        <w:rPr>
          <w:rFonts w:ascii="Times New Roman" w:hAnsi="Times New Roman" w:cs="Times New Roman"/>
          <w:sz w:val="24"/>
          <w:szCs w:val="24"/>
        </w:rPr>
        <w:t xml:space="preserve"> </w:t>
      </w:r>
      <w:r w:rsidR="000D3D0D">
        <w:rPr>
          <w:rFonts w:ascii="Times New Roman" w:hAnsi="Times New Roman" w:cs="Times New Roman"/>
          <w:sz w:val="24"/>
          <w:szCs w:val="24"/>
        </w:rPr>
        <w:t>aphid</w:t>
      </w:r>
      <w:r w:rsidR="0090335B">
        <w:rPr>
          <w:rFonts w:ascii="Times New Roman" w:hAnsi="Times New Roman" w:cs="Times New Roman"/>
          <w:sz w:val="24"/>
          <w:szCs w:val="24"/>
        </w:rPr>
        <w:t xml:space="preserve"> control chemistri</w:t>
      </w:r>
      <w:r w:rsidR="00EA1833">
        <w:rPr>
          <w:rFonts w:ascii="Times New Roman" w:hAnsi="Times New Roman" w:cs="Times New Roman"/>
          <w:sz w:val="24"/>
          <w:szCs w:val="24"/>
        </w:rPr>
        <w:t xml:space="preserve">es </w:t>
      </w:r>
      <w:r w:rsidR="005747CE">
        <w:rPr>
          <w:rFonts w:ascii="Times New Roman" w:hAnsi="Times New Roman" w:cs="Times New Roman"/>
          <w:sz w:val="24"/>
          <w:szCs w:val="24"/>
        </w:rPr>
        <w:t>that include candidate lipid biosynthesis</w:t>
      </w:r>
      <w:r w:rsidR="00362B50">
        <w:rPr>
          <w:rFonts w:ascii="Times New Roman" w:hAnsi="Times New Roman" w:cs="Times New Roman"/>
          <w:sz w:val="24"/>
          <w:szCs w:val="24"/>
        </w:rPr>
        <w:t xml:space="preserve"> inhibitors</w:t>
      </w:r>
      <w:r w:rsidR="003A5F0A">
        <w:rPr>
          <w:rFonts w:ascii="Times New Roman" w:hAnsi="Times New Roman" w:cs="Times New Roman"/>
          <w:sz w:val="24"/>
          <w:szCs w:val="24"/>
        </w:rPr>
        <w:t xml:space="preserve"> </w:t>
      </w:r>
      <w:r w:rsidR="00EA1833">
        <w:rPr>
          <w:rFonts w:ascii="Times New Roman" w:hAnsi="Times New Roman" w:cs="Times New Roman"/>
          <w:sz w:val="24"/>
          <w:szCs w:val="24"/>
        </w:rPr>
        <w:t>as well as some of the alternative acaricides that will be field tested and analyzed in the laboratory as detailed in our companion proposal to the HRC for research on spider mites.</w:t>
      </w:r>
      <w:r w:rsidR="0090335B">
        <w:rPr>
          <w:rFonts w:ascii="Times New Roman" w:hAnsi="Times New Roman" w:cs="Times New Roman"/>
          <w:sz w:val="24"/>
          <w:szCs w:val="24"/>
        </w:rPr>
        <w:t xml:space="preserve"> </w:t>
      </w:r>
      <w:r w:rsidR="008B4415">
        <w:rPr>
          <w:rFonts w:ascii="Times New Roman" w:hAnsi="Times New Roman" w:cs="Times New Roman"/>
          <w:sz w:val="24"/>
          <w:szCs w:val="24"/>
        </w:rPr>
        <w:t xml:space="preserve"> The predatory mites</w:t>
      </w:r>
      <w:r w:rsidR="008B4415" w:rsidRPr="00E235C0">
        <w:rPr>
          <w:rFonts w:ascii="Times New Roman" w:hAnsi="Times New Roman" w:cs="Times New Roman"/>
          <w:sz w:val="24"/>
          <w:szCs w:val="24"/>
        </w:rPr>
        <w:t xml:space="preserve"> will be topically exposed in a Potter spray tower to dilute sprays of each </w:t>
      </w:r>
      <w:r w:rsidR="008B4415">
        <w:rPr>
          <w:rFonts w:ascii="Times New Roman" w:hAnsi="Times New Roman" w:cs="Times New Roman"/>
          <w:sz w:val="24"/>
          <w:szCs w:val="24"/>
        </w:rPr>
        <w:t xml:space="preserve">candidate </w:t>
      </w:r>
      <w:r w:rsidR="008B4415" w:rsidRPr="00E235C0">
        <w:rPr>
          <w:rFonts w:ascii="Times New Roman" w:hAnsi="Times New Roman" w:cs="Times New Roman"/>
          <w:sz w:val="24"/>
          <w:szCs w:val="24"/>
        </w:rPr>
        <w:t>chemistry at decreasing concentrations. These tests will be used to refine our ongoing list of agricultural chemicals deemed safe or dangerous to beneficial mites.</w:t>
      </w:r>
    </w:p>
    <w:p w14:paraId="51FE43A0" w14:textId="77777777" w:rsidR="00C66344" w:rsidRPr="00C66344" w:rsidRDefault="00C66344">
      <w:pPr>
        <w:rPr>
          <w:rFonts w:ascii="Times New Roman" w:hAnsi="Times New Roman" w:cs="Times New Roman"/>
          <w:sz w:val="24"/>
          <w:szCs w:val="24"/>
        </w:rPr>
      </w:pPr>
    </w:p>
    <w:p w14:paraId="031DE17E" w14:textId="3CECA312" w:rsidR="00D85303" w:rsidRDefault="00362B50" w:rsidP="005A6623">
      <w:pPr>
        <w:spacing w:after="120"/>
        <w:rPr>
          <w:rFonts w:ascii="Times New Roman" w:hAnsi="Times New Roman" w:cs="Times New Roman"/>
          <w:sz w:val="24"/>
          <w:szCs w:val="24"/>
        </w:rPr>
      </w:pPr>
      <w:r>
        <w:rPr>
          <w:rFonts w:ascii="Times New Roman" w:hAnsi="Times New Roman" w:cs="Times New Roman"/>
          <w:b/>
          <w:sz w:val="24"/>
          <w:szCs w:val="24"/>
        </w:rPr>
        <w:t>e</w:t>
      </w:r>
      <w:r w:rsidR="00C66344" w:rsidRPr="005A6623">
        <w:rPr>
          <w:rFonts w:ascii="Times New Roman" w:hAnsi="Times New Roman" w:cs="Times New Roman"/>
          <w:b/>
          <w:sz w:val="24"/>
          <w:szCs w:val="24"/>
        </w:rPr>
        <w:t xml:space="preserve">) </w:t>
      </w:r>
      <w:r w:rsidR="00F35139">
        <w:rPr>
          <w:rFonts w:ascii="Times New Roman" w:hAnsi="Times New Roman" w:cs="Times New Roman"/>
          <w:b/>
          <w:sz w:val="24"/>
          <w:szCs w:val="24"/>
        </w:rPr>
        <w:t>E</w:t>
      </w:r>
      <w:r w:rsidR="00C66344" w:rsidRPr="005A6623">
        <w:rPr>
          <w:rFonts w:ascii="Times New Roman" w:hAnsi="Times New Roman" w:cs="Times New Roman"/>
          <w:b/>
          <w:sz w:val="24"/>
          <w:szCs w:val="24"/>
        </w:rPr>
        <w:t>xport viability</w:t>
      </w:r>
      <w:r w:rsidR="00F35139">
        <w:rPr>
          <w:rFonts w:ascii="Times New Roman" w:hAnsi="Times New Roman" w:cs="Times New Roman"/>
          <w:b/>
          <w:sz w:val="24"/>
          <w:szCs w:val="24"/>
        </w:rPr>
        <w:t xml:space="preserve"> / pesticide residues</w:t>
      </w:r>
      <w:r w:rsidR="00C66344" w:rsidRPr="005A6623">
        <w:rPr>
          <w:rFonts w:ascii="Times New Roman" w:hAnsi="Times New Roman" w:cs="Times New Roman"/>
          <w:b/>
          <w:sz w:val="24"/>
          <w:szCs w:val="24"/>
        </w:rPr>
        <w:t>.</w:t>
      </w:r>
      <w:r w:rsidR="00C66344" w:rsidRPr="00C66344">
        <w:rPr>
          <w:rFonts w:ascii="Times New Roman" w:hAnsi="Times New Roman" w:cs="Times New Roman"/>
          <w:sz w:val="24"/>
          <w:szCs w:val="24"/>
        </w:rPr>
        <w:t xml:space="preserve"> U.S. hop growers are facing nothing short of a crisis regarding export markets, a vital component of the industry’s profitability. The fungicide quinoxyfen</w:t>
      </w:r>
      <w:r w:rsidR="003A5F0A">
        <w:rPr>
          <w:rFonts w:ascii="Times New Roman" w:hAnsi="Times New Roman" w:cs="Times New Roman"/>
          <w:sz w:val="24"/>
          <w:szCs w:val="24"/>
        </w:rPr>
        <w:t>,</w:t>
      </w:r>
      <w:r w:rsidR="00C66344" w:rsidRPr="00C66344">
        <w:rPr>
          <w:rFonts w:ascii="Times New Roman" w:hAnsi="Times New Roman" w:cs="Times New Roman"/>
          <w:sz w:val="24"/>
          <w:szCs w:val="24"/>
        </w:rPr>
        <w:t xml:space="preserve"> the suite of neonicotinoid insecticides (e.g., imidacloprid, thiamethoxam)</w:t>
      </w:r>
      <w:r w:rsidR="003A5F0A">
        <w:rPr>
          <w:rFonts w:ascii="Times New Roman" w:hAnsi="Times New Roman" w:cs="Times New Roman"/>
          <w:sz w:val="24"/>
          <w:szCs w:val="24"/>
        </w:rPr>
        <w:t>,</w:t>
      </w:r>
      <w:r w:rsidR="00833715">
        <w:rPr>
          <w:rFonts w:ascii="Times New Roman" w:hAnsi="Times New Roman" w:cs="Times New Roman"/>
          <w:sz w:val="24"/>
          <w:szCs w:val="24"/>
        </w:rPr>
        <w:t xml:space="preserve"> and the acaricide spirodiclofen </w:t>
      </w:r>
      <w:r w:rsidR="00C66344" w:rsidRPr="00C66344">
        <w:rPr>
          <w:rFonts w:ascii="Times New Roman" w:hAnsi="Times New Roman" w:cs="Times New Roman"/>
          <w:sz w:val="24"/>
          <w:szCs w:val="24"/>
        </w:rPr>
        <w:t>are among compounds considered essential to the U.S. hop grower, but facing increased scrutiny in export markets</w:t>
      </w:r>
      <w:r w:rsidR="00035241">
        <w:rPr>
          <w:rFonts w:ascii="Times New Roman" w:hAnsi="Times New Roman" w:cs="Times New Roman"/>
          <w:sz w:val="24"/>
          <w:szCs w:val="24"/>
        </w:rPr>
        <w:t>, most notably the European Union</w:t>
      </w:r>
      <w:r w:rsidR="00C66344" w:rsidRPr="00C66344">
        <w:rPr>
          <w:rFonts w:ascii="Times New Roman" w:hAnsi="Times New Roman" w:cs="Times New Roman"/>
          <w:sz w:val="24"/>
          <w:szCs w:val="24"/>
        </w:rPr>
        <w:t xml:space="preserve">. To address current and anticipated MRL restrictions on hop exports, we will conduct </w:t>
      </w:r>
      <w:r w:rsidR="00101973">
        <w:rPr>
          <w:rFonts w:ascii="Times New Roman" w:hAnsi="Times New Roman" w:cs="Times New Roman"/>
          <w:sz w:val="24"/>
          <w:szCs w:val="24"/>
        </w:rPr>
        <w:t xml:space="preserve">a </w:t>
      </w:r>
      <w:r w:rsidR="00C62E32">
        <w:rPr>
          <w:rFonts w:ascii="Times New Roman" w:hAnsi="Times New Roman" w:cs="Times New Roman"/>
          <w:sz w:val="24"/>
          <w:szCs w:val="24"/>
        </w:rPr>
        <w:t>third</w:t>
      </w:r>
      <w:r w:rsidR="00101973">
        <w:rPr>
          <w:rFonts w:ascii="Times New Roman" w:hAnsi="Times New Roman" w:cs="Times New Roman"/>
          <w:sz w:val="24"/>
          <w:szCs w:val="24"/>
        </w:rPr>
        <w:t xml:space="preserve"> year of </w:t>
      </w:r>
      <w:r w:rsidR="00C66344" w:rsidRPr="00C66344">
        <w:rPr>
          <w:rFonts w:ascii="Times New Roman" w:hAnsi="Times New Roman" w:cs="Times New Roman"/>
          <w:sz w:val="24"/>
          <w:szCs w:val="24"/>
        </w:rPr>
        <w:t xml:space="preserve">experimental plot studies to identify alternative pesticides and use patterns. </w:t>
      </w:r>
      <w:r w:rsidR="00324BAC">
        <w:rPr>
          <w:rFonts w:ascii="Times New Roman" w:hAnsi="Times New Roman" w:cs="Times New Roman"/>
          <w:sz w:val="24"/>
          <w:szCs w:val="24"/>
        </w:rPr>
        <w:t>W</w:t>
      </w:r>
      <w:r w:rsidR="00C66344" w:rsidRPr="00C66344">
        <w:rPr>
          <w:rFonts w:ascii="Times New Roman" w:hAnsi="Times New Roman" w:cs="Times New Roman"/>
          <w:sz w:val="24"/>
          <w:szCs w:val="24"/>
        </w:rPr>
        <w:t xml:space="preserve">e will conduct a series of residue studies based out of research hop yards at the WSU Prosser Irrigated Agriculture Research and Extension Center. </w:t>
      </w:r>
      <w:r w:rsidR="00C66344">
        <w:rPr>
          <w:rFonts w:ascii="Times New Roman" w:hAnsi="Times New Roman" w:cs="Times New Roman"/>
          <w:sz w:val="24"/>
          <w:szCs w:val="24"/>
        </w:rPr>
        <w:t xml:space="preserve">We anticipate these studies may take up to </w:t>
      </w:r>
      <w:r w:rsidR="00502C1B">
        <w:rPr>
          <w:rFonts w:ascii="Times New Roman" w:hAnsi="Times New Roman" w:cs="Times New Roman"/>
          <w:sz w:val="24"/>
          <w:szCs w:val="24"/>
        </w:rPr>
        <w:t>5</w:t>
      </w:r>
      <w:r w:rsidR="00C66344">
        <w:rPr>
          <w:rFonts w:ascii="Times New Roman" w:hAnsi="Times New Roman" w:cs="Times New Roman"/>
          <w:sz w:val="24"/>
          <w:szCs w:val="24"/>
        </w:rPr>
        <w:t xml:space="preserve"> years. In 2020</w:t>
      </w:r>
      <w:r w:rsidR="00502C1B">
        <w:rPr>
          <w:rFonts w:ascii="Times New Roman" w:hAnsi="Times New Roman" w:cs="Times New Roman"/>
          <w:sz w:val="24"/>
          <w:szCs w:val="24"/>
        </w:rPr>
        <w:t xml:space="preserve"> and 2021</w:t>
      </w:r>
      <w:r w:rsidR="00C66344" w:rsidRPr="00C66344">
        <w:rPr>
          <w:rFonts w:ascii="Times New Roman" w:hAnsi="Times New Roman" w:cs="Times New Roman"/>
          <w:sz w:val="24"/>
          <w:szCs w:val="24"/>
        </w:rPr>
        <w:t>, a wide variety of pesticides (</w:t>
      </w:r>
      <w:r w:rsidR="00E47F61">
        <w:rPr>
          <w:rFonts w:ascii="Times New Roman" w:hAnsi="Times New Roman" w:cs="Times New Roman"/>
          <w:sz w:val="24"/>
          <w:szCs w:val="24"/>
        </w:rPr>
        <w:t>25</w:t>
      </w:r>
      <w:r w:rsidR="00C66344" w:rsidRPr="00C66344">
        <w:rPr>
          <w:rFonts w:ascii="Times New Roman" w:hAnsi="Times New Roman" w:cs="Times New Roman"/>
          <w:sz w:val="24"/>
          <w:szCs w:val="24"/>
        </w:rPr>
        <w:t>, including quinoxyfen</w:t>
      </w:r>
      <w:r w:rsidR="00502C1B">
        <w:rPr>
          <w:rFonts w:ascii="Times New Roman" w:hAnsi="Times New Roman" w:cs="Times New Roman"/>
          <w:sz w:val="24"/>
          <w:szCs w:val="24"/>
        </w:rPr>
        <w:t>,</w:t>
      </w:r>
      <w:r w:rsidR="00C66344" w:rsidRPr="00C66344">
        <w:rPr>
          <w:rFonts w:ascii="Times New Roman" w:hAnsi="Times New Roman" w:cs="Times New Roman"/>
          <w:sz w:val="24"/>
          <w:szCs w:val="24"/>
        </w:rPr>
        <w:t xml:space="preserve"> </w:t>
      </w:r>
      <w:r w:rsidR="00101973">
        <w:rPr>
          <w:rFonts w:ascii="Times New Roman" w:hAnsi="Times New Roman" w:cs="Times New Roman"/>
          <w:sz w:val="24"/>
          <w:szCs w:val="24"/>
        </w:rPr>
        <w:t>imidacloprid</w:t>
      </w:r>
      <w:r w:rsidR="00502C1B">
        <w:rPr>
          <w:rFonts w:ascii="Times New Roman" w:hAnsi="Times New Roman" w:cs="Times New Roman"/>
          <w:sz w:val="24"/>
          <w:szCs w:val="24"/>
        </w:rPr>
        <w:t xml:space="preserve">, </w:t>
      </w:r>
      <w:r w:rsidR="00324BAC">
        <w:rPr>
          <w:rFonts w:ascii="Times New Roman" w:hAnsi="Times New Roman" w:cs="Times New Roman"/>
          <w:sz w:val="24"/>
          <w:szCs w:val="24"/>
        </w:rPr>
        <w:t>spiromesifen</w:t>
      </w:r>
      <w:r w:rsidR="00502C1B">
        <w:rPr>
          <w:rFonts w:ascii="Times New Roman" w:hAnsi="Times New Roman" w:cs="Times New Roman"/>
          <w:sz w:val="24"/>
          <w:szCs w:val="24"/>
        </w:rPr>
        <w:t>, and acequinocyl</w:t>
      </w:r>
      <w:r w:rsidR="00C66344" w:rsidRPr="00C66344">
        <w:rPr>
          <w:rFonts w:ascii="Times New Roman" w:hAnsi="Times New Roman" w:cs="Times New Roman"/>
          <w:sz w:val="24"/>
          <w:szCs w:val="24"/>
        </w:rPr>
        <w:t>) w</w:t>
      </w:r>
      <w:r w:rsidR="00E47F61">
        <w:rPr>
          <w:rFonts w:ascii="Times New Roman" w:hAnsi="Times New Roman" w:cs="Times New Roman"/>
          <w:sz w:val="24"/>
          <w:szCs w:val="24"/>
        </w:rPr>
        <w:t>ere</w:t>
      </w:r>
      <w:r w:rsidR="00C66344" w:rsidRPr="00C66344">
        <w:rPr>
          <w:rFonts w:ascii="Times New Roman" w:hAnsi="Times New Roman" w:cs="Times New Roman"/>
          <w:sz w:val="24"/>
          <w:szCs w:val="24"/>
        </w:rPr>
        <w:t xml:space="preserve"> applied to </w:t>
      </w:r>
      <w:r w:rsidR="00E47F61">
        <w:rPr>
          <w:rFonts w:ascii="Times New Roman" w:hAnsi="Times New Roman" w:cs="Times New Roman"/>
          <w:sz w:val="24"/>
          <w:szCs w:val="24"/>
        </w:rPr>
        <w:t>our</w:t>
      </w:r>
      <w:r w:rsidR="00C66344" w:rsidRPr="00C66344">
        <w:rPr>
          <w:rFonts w:ascii="Times New Roman" w:hAnsi="Times New Roman" w:cs="Times New Roman"/>
          <w:sz w:val="24"/>
          <w:szCs w:val="24"/>
        </w:rPr>
        <w:t xml:space="preserve"> research hop yards at rates, timings, and frequencies typically e</w:t>
      </w:r>
      <w:r w:rsidR="00E47F61">
        <w:rPr>
          <w:rFonts w:ascii="Times New Roman" w:hAnsi="Times New Roman" w:cs="Times New Roman"/>
          <w:sz w:val="24"/>
          <w:szCs w:val="24"/>
        </w:rPr>
        <w:t>mployed by growers. This differed</w:t>
      </w:r>
      <w:r w:rsidR="00C66344" w:rsidRPr="00C66344">
        <w:rPr>
          <w:rFonts w:ascii="Times New Roman" w:hAnsi="Times New Roman" w:cs="Times New Roman"/>
          <w:sz w:val="24"/>
          <w:szCs w:val="24"/>
        </w:rPr>
        <w:t xml:space="preserve"> from the IR-4 program’s protocol of applying at the maximum rate for the maximum number of allowable applications when conducting magnitude of pesticide residue trials as part of their petition to the U.S. EPA to establish pesticide tolerances (MRLs) on specialty crops. </w:t>
      </w:r>
      <w:r w:rsidR="00101973">
        <w:rPr>
          <w:rFonts w:ascii="Times New Roman" w:hAnsi="Times New Roman" w:cs="Times New Roman"/>
          <w:sz w:val="24"/>
          <w:szCs w:val="24"/>
        </w:rPr>
        <w:t>Presently (as of September 1, 202</w:t>
      </w:r>
      <w:r w:rsidR="00185176">
        <w:rPr>
          <w:rFonts w:ascii="Times New Roman" w:hAnsi="Times New Roman" w:cs="Times New Roman"/>
          <w:sz w:val="24"/>
          <w:szCs w:val="24"/>
        </w:rPr>
        <w:t>1</w:t>
      </w:r>
      <w:r w:rsidR="00101973">
        <w:rPr>
          <w:rFonts w:ascii="Times New Roman" w:hAnsi="Times New Roman" w:cs="Times New Roman"/>
          <w:sz w:val="24"/>
          <w:szCs w:val="24"/>
        </w:rPr>
        <w:t>),</w:t>
      </w:r>
      <w:r w:rsidR="00840C65">
        <w:rPr>
          <w:rFonts w:ascii="Times New Roman" w:hAnsi="Times New Roman" w:cs="Times New Roman"/>
          <w:sz w:val="24"/>
          <w:szCs w:val="24"/>
        </w:rPr>
        <w:t xml:space="preserve"> we are harvesting hops </w:t>
      </w:r>
      <w:r w:rsidR="003A5F0A">
        <w:rPr>
          <w:rFonts w:ascii="Times New Roman" w:hAnsi="Times New Roman" w:cs="Times New Roman"/>
          <w:sz w:val="24"/>
          <w:szCs w:val="24"/>
        </w:rPr>
        <w:t xml:space="preserve">from these research plots </w:t>
      </w:r>
      <w:r w:rsidR="00840C65">
        <w:rPr>
          <w:rFonts w:ascii="Times New Roman" w:hAnsi="Times New Roman" w:cs="Times New Roman"/>
          <w:sz w:val="24"/>
          <w:szCs w:val="24"/>
        </w:rPr>
        <w:t xml:space="preserve">and </w:t>
      </w:r>
      <w:r w:rsidR="00C66344" w:rsidRPr="00C66344">
        <w:rPr>
          <w:rFonts w:ascii="Times New Roman" w:hAnsi="Times New Roman" w:cs="Times New Roman"/>
          <w:sz w:val="24"/>
          <w:szCs w:val="24"/>
        </w:rPr>
        <w:t xml:space="preserve">cone samples </w:t>
      </w:r>
      <w:r w:rsidR="00840C65">
        <w:rPr>
          <w:rFonts w:ascii="Times New Roman" w:hAnsi="Times New Roman" w:cs="Times New Roman"/>
          <w:sz w:val="24"/>
          <w:szCs w:val="24"/>
        </w:rPr>
        <w:t xml:space="preserve">will be sent to Pacific Analytical for pesticide residue analysis </w:t>
      </w:r>
      <w:r w:rsidR="00C66344" w:rsidRPr="00C66344">
        <w:rPr>
          <w:rFonts w:ascii="Times New Roman" w:hAnsi="Times New Roman" w:cs="Times New Roman"/>
          <w:sz w:val="24"/>
          <w:szCs w:val="24"/>
        </w:rPr>
        <w:t>using methods designed to detect multiple residues (</w:t>
      </w:r>
      <w:proofErr w:type="spellStart"/>
      <w:r w:rsidR="00C66344" w:rsidRPr="00C66344">
        <w:rPr>
          <w:rFonts w:ascii="Times New Roman" w:hAnsi="Times New Roman" w:cs="Times New Roman"/>
          <w:sz w:val="24"/>
          <w:szCs w:val="24"/>
        </w:rPr>
        <w:t>Hengel</w:t>
      </w:r>
      <w:proofErr w:type="spellEnd"/>
      <w:r w:rsidR="00C66344" w:rsidRPr="00C66344">
        <w:rPr>
          <w:rFonts w:ascii="Times New Roman" w:hAnsi="Times New Roman" w:cs="Times New Roman"/>
          <w:sz w:val="24"/>
          <w:szCs w:val="24"/>
        </w:rPr>
        <w:t xml:space="preserve"> et al. 2016, 2018). Those pesticides with detectable residues above the default or established MRL for key export markets will be included in </w:t>
      </w:r>
      <w:r w:rsidR="007B3AEE">
        <w:rPr>
          <w:rFonts w:ascii="Times New Roman" w:hAnsi="Times New Roman" w:cs="Times New Roman"/>
          <w:sz w:val="24"/>
          <w:szCs w:val="24"/>
        </w:rPr>
        <w:t>202</w:t>
      </w:r>
      <w:r w:rsidR="00185176">
        <w:rPr>
          <w:rFonts w:ascii="Times New Roman" w:hAnsi="Times New Roman" w:cs="Times New Roman"/>
          <w:sz w:val="24"/>
          <w:szCs w:val="24"/>
        </w:rPr>
        <w:t>2</w:t>
      </w:r>
      <w:r w:rsidR="00C66344" w:rsidRPr="00C66344">
        <w:rPr>
          <w:rFonts w:ascii="Times New Roman" w:hAnsi="Times New Roman" w:cs="Times New Roman"/>
          <w:sz w:val="24"/>
          <w:szCs w:val="24"/>
        </w:rPr>
        <w:t xml:space="preserve"> studies, in which the pre-harvest interval (PHI) of application will be moved back such that residues have additional time to degrade. This process will be iterative, such that in </w:t>
      </w:r>
      <w:r w:rsidR="007B3AEE">
        <w:rPr>
          <w:rFonts w:ascii="Times New Roman" w:hAnsi="Times New Roman" w:cs="Times New Roman"/>
          <w:sz w:val="24"/>
          <w:szCs w:val="24"/>
        </w:rPr>
        <w:t>subsequent years</w:t>
      </w:r>
      <w:r w:rsidR="00C66344" w:rsidRPr="00C66344">
        <w:rPr>
          <w:rFonts w:ascii="Times New Roman" w:hAnsi="Times New Roman" w:cs="Times New Roman"/>
          <w:sz w:val="24"/>
          <w:szCs w:val="24"/>
        </w:rPr>
        <w:t xml:space="preserve"> fewer pesticides will be </w:t>
      </w:r>
      <w:r w:rsidR="00C66344" w:rsidRPr="00C66344">
        <w:rPr>
          <w:rFonts w:ascii="Times New Roman" w:hAnsi="Times New Roman" w:cs="Times New Roman"/>
          <w:sz w:val="24"/>
          <w:szCs w:val="24"/>
        </w:rPr>
        <w:lastRenderedPageBreak/>
        <w:t>studied, but PHI interval options studied will increase. These studies will be combined with efficacy analysis of longer PHIs to determine optimal application timing for both pest management and acceptable residues.</w:t>
      </w:r>
    </w:p>
    <w:p w14:paraId="085C9A9D" w14:textId="1946196F" w:rsidR="00D85303" w:rsidRPr="00A04AFF" w:rsidRDefault="00255115" w:rsidP="00926C48">
      <w:pPr>
        <w:spacing w:after="0"/>
        <w:rPr>
          <w:rFonts w:ascii="Times New Roman" w:hAnsi="Times New Roman" w:cs="Times New Roman"/>
          <w:bCs/>
          <w:sz w:val="24"/>
          <w:szCs w:val="24"/>
        </w:rPr>
      </w:pPr>
      <w:r>
        <w:rPr>
          <w:rFonts w:ascii="Times New Roman" w:hAnsi="Times New Roman" w:cs="Times New Roman"/>
          <w:b/>
          <w:sz w:val="24"/>
          <w:szCs w:val="24"/>
        </w:rPr>
        <w:t>f</w:t>
      </w:r>
      <w:r w:rsidR="00245011" w:rsidRPr="005A6623">
        <w:rPr>
          <w:rFonts w:ascii="Times New Roman" w:hAnsi="Times New Roman" w:cs="Times New Roman"/>
          <w:b/>
          <w:sz w:val="24"/>
          <w:szCs w:val="24"/>
        </w:rPr>
        <w:t xml:space="preserve">) </w:t>
      </w:r>
      <w:r w:rsidR="00324BAC">
        <w:rPr>
          <w:rFonts w:ascii="Times New Roman" w:hAnsi="Times New Roman" w:cs="Times New Roman"/>
          <w:b/>
          <w:sz w:val="24"/>
          <w:szCs w:val="24"/>
        </w:rPr>
        <w:t>O</w:t>
      </w:r>
      <w:r w:rsidR="00926C48" w:rsidRPr="00926C48">
        <w:rPr>
          <w:rFonts w:ascii="Times New Roman" w:hAnsi="Times New Roman" w:cs="Times New Roman"/>
          <w:b/>
          <w:sz w:val="24"/>
          <w:szCs w:val="24"/>
        </w:rPr>
        <w:t xml:space="preserve">zonated water </w:t>
      </w:r>
      <w:r w:rsidR="00455B58">
        <w:rPr>
          <w:rFonts w:ascii="Times New Roman" w:hAnsi="Times New Roman" w:cs="Times New Roman"/>
          <w:b/>
          <w:sz w:val="24"/>
          <w:szCs w:val="24"/>
        </w:rPr>
        <w:t>to reduce</w:t>
      </w:r>
      <w:r w:rsidR="00926C48" w:rsidRPr="00926C48">
        <w:rPr>
          <w:rFonts w:ascii="Times New Roman" w:hAnsi="Times New Roman" w:cs="Times New Roman"/>
          <w:b/>
          <w:sz w:val="24"/>
          <w:szCs w:val="24"/>
        </w:rPr>
        <w:t xml:space="preserve"> pesticide residues</w:t>
      </w:r>
      <w:r w:rsidR="00A04AFF">
        <w:rPr>
          <w:rFonts w:ascii="Times New Roman" w:hAnsi="Times New Roman" w:cs="Times New Roman"/>
          <w:b/>
          <w:sz w:val="24"/>
          <w:szCs w:val="24"/>
        </w:rPr>
        <w:t>.</w:t>
      </w:r>
      <w:r w:rsidR="00A04AFF" w:rsidRPr="00A04AFF">
        <w:t xml:space="preserve"> </w:t>
      </w:r>
      <w:r w:rsidR="00A04AFF" w:rsidRPr="00A04AFF">
        <w:rPr>
          <w:rFonts w:ascii="Times New Roman" w:hAnsi="Times New Roman" w:cs="Times New Roman"/>
          <w:bCs/>
          <w:sz w:val="24"/>
          <w:szCs w:val="24"/>
        </w:rPr>
        <w:t xml:space="preserve">Multiple studies in other crops and in stored product facilities have demonstrated that the application of ozone can degrade pesticide residues and lead to less pesticide being detected in </w:t>
      </w:r>
      <w:r w:rsidR="000463B3">
        <w:rPr>
          <w:rFonts w:ascii="Times New Roman" w:hAnsi="Times New Roman" w:cs="Times New Roman"/>
          <w:bCs/>
          <w:sz w:val="24"/>
          <w:szCs w:val="24"/>
        </w:rPr>
        <w:t xml:space="preserve">pesticide residue </w:t>
      </w:r>
      <w:r w:rsidR="00A04AFF" w:rsidRPr="00A04AFF">
        <w:rPr>
          <w:rFonts w:ascii="Times New Roman" w:hAnsi="Times New Roman" w:cs="Times New Roman"/>
          <w:bCs/>
          <w:sz w:val="24"/>
          <w:szCs w:val="24"/>
        </w:rPr>
        <w:t xml:space="preserve">analytical laboratories. Just prior to harvest in </w:t>
      </w:r>
      <w:r w:rsidR="006A585A">
        <w:rPr>
          <w:rFonts w:ascii="Times New Roman" w:hAnsi="Times New Roman" w:cs="Times New Roman"/>
          <w:bCs/>
          <w:sz w:val="24"/>
          <w:szCs w:val="24"/>
        </w:rPr>
        <w:t xml:space="preserve">August and </w:t>
      </w:r>
      <w:r w:rsidR="00A04AFF" w:rsidRPr="00A04AFF">
        <w:rPr>
          <w:rFonts w:ascii="Times New Roman" w:hAnsi="Times New Roman" w:cs="Times New Roman"/>
          <w:bCs/>
          <w:sz w:val="24"/>
          <w:szCs w:val="24"/>
        </w:rPr>
        <w:t xml:space="preserve">September </w:t>
      </w:r>
      <w:r w:rsidR="006A585A">
        <w:rPr>
          <w:rFonts w:ascii="Times New Roman" w:hAnsi="Times New Roman" w:cs="Times New Roman"/>
          <w:bCs/>
          <w:sz w:val="24"/>
          <w:szCs w:val="24"/>
        </w:rPr>
        <w:t xml:space="preserve">2022 </w:t>
      </w:r>
      <w:r w:rsidR="00A04AFF" w:rsidRPr="00A04AFF">
        <w:rPr>
          <w:rFonts w:ascii="Times New Roman" w:hAnsi="Times New Roman" w:cs="Times New Roman"/>
          <w:bCs/>
          <w:sz w:val="24"/>
          <w:szCs w:val="24"/>
        </w:rPr>
        <w:t>we will borrow an airblast sprayer presently equipped with an ozone injection system from the</w:t>
      </w:r>
      <w:r w:rsidR="006A585A">
        <w:rPr>
          <w:rFonts w:ascii="Times New Roman" w:hAnsi="Times New Roman" w:cs="Times New Roman"/>
          <w:bCs/>
          <w:sz w:val="24"/>
          <w:szCs w:val="24"/>
        </w:rPr>
        <w:t xml:space="preserve"> WSU</w:t>
      </w:r>
      <w:r w:rsidR="00A04AFF" w:rsidRPr="00A04AFF">
        <w:rPr>
          <w:rFonts w:ascii="Times New Roman" w:hAnsi="Times New Roman" w:cs="Times New Roman"/>
          <w:bCs/>
          <w:sz w:val="24"/>
          <w:szCs w:val="24"/>
        </w:rPr>
        <w:t xml:space="preserve"> Center for Precision Agriculture and Automation and treat </w:t>
      </w:r>
      <w:r w:rsidR="006C0359">
        <w:rPr>
          <w:rFonts w:ascii="Times New Roman" w:hAnsi="Times New Roman" w:cs="Times New Roman"/>
          <w:bCs/>
          <w:sz w:val="24"/>
          <w:szCs w:val="24"/>
        </w:rPr>
        <w:t xml:space="preserve">a representative block from </w:t>
      </w:r>
      <w:r w:rsidR="00016C61">
        <w:rPr>
          <w:rFonts w:ascii="Times New Roman" w:hAnsi="Times New Roman" w:cs="Times New Roman"/>
          <w:bCs/>
          <w:sz w:val="24"/>
          <w:szCs w:val="24"/>
        </w:rPr>
        <w:t>our studies as detailed in objective e above</w:t>
      </w:r>
      <w:r w:rsidR="00A04AFF" w:rsidRPr="00A04AFF">
        <w:rPr>
          <w:rFonts w:ascii="Times New Roman" w:hAnsi="Times New Roman" w:cs="Times New Roman"/>
          <w:bCs/>
          <w:sz w:val="24"/>
          <w:szCs w:val="24"/>
        </w:rPr>
        <w:t xml:space="preserve">. Following harvest and kilning we will send samples of </w:t>
      </w:r>
      <w:r w:rsidR="006A585A">
        <w:rPr>
          <w:rFonts w:ascii="Times New Roman" w:hAnsi="Times New Roman" w:cs="Times New Roman"/>
          <w:bCs/>
          <w:sz w:val="24"/>
          <w:szCs w:val="24"/>
        </w:rPr>
        <w:t xml:space="preserve">hops </w:t>
      </w:r>
      <w:r w:rsidR="00A04AFF" w:rsidRPr="00A04AFF">
        <w:rPr>
          <w:rFonts w:ascii="Times New Roman" w:hAnsi="Times New Roman" w:cs="Times New Roman"/>
          <w:bCs/>
          <w:sz w:val="24"/>
          <w:szCs w:val="24"/>
        </w:rPr>
        <w:t xml:space="preserve">from specific </w:t>
      </w:r>
      <w:r w:rsidR="006A585A">
        <w:rPr>
          <w:rFonts w:ascii="Times New Roman" w:hAnsi="Times New Roman" w:cs="Times New Roman"/>
          <w:bCs/>
          <w:sz w:val="24"/>
          <w:szCs w:val="24"/>
        </w:rPr>
        <w:t>named varieties</w:t>
      </w:r>
      <w:r w:rsidR="00A04AFF" w:rsidRPr="00A04AFF">
        <w:rPr>
          <w:rFonts w:ascii="Times New Roman" w:hAnsi="Times New Roman" w:cs="Times New Roman"/>
          <w:bCs/>
          <w:sz w:val="24"/>
          <w:szCs w:val="24"/>
        </w:rPr>
        <w:t xml:space="preserve"> in objective </w:t>
      </w:r>
      <w:r w:rsidR="00180B95">
        <w:rPr>
          <w:rFonts w:ascii="Times New Roman" w:hAnsi="Times New Roman" w:cs="Times New Roman"/>
          <w:bCs/>
          <w:sz w:val="24"/>
          <w:szCs w:val="24"/>
        </w:rPr>
        <w:t>e</w:t>
      </w:r>
      <w:r w:rsidR="00A04AFF" w:rsidRPr="00A04AFF">
        <w:rPr>
          <w:rFonts w:ascii="Times New Roman" w:hAnsi="Times New Roman" w:cs="Times New Roman"/>
          <w:bCs/>
          <w:sz w:val="24"/>
          <w:szCs w:val="24"/>
        </w:rPr>
        <w:t xml:space="preserve"> that were treated with the ozonated water and </w:t>
      </w:r>
      <w:r w:rsidR="00180B95">
        <w:rPr>
          <w:rFonts w:ascii="Times New Roman" w:hAnsi="Times New Roman" w:cs="Times New Roman"/>
          <w:bCs/>
          <w:sz w:val="24"/>
          <w:szCs w:val="24"/>
        </w:rPr>
        <w:t>companion samples from the same varieties</w:t>
      </w:r>
      <w:r w:rsidR="00A04AFF" w:rsidRPr="00A04AFF">
        <w:rPr>
          <w:rFonts w:ascii="Times New Roman" w:hAnsi="Times New Roman" w:cs="Times New Roman"/>
          <w:bCs/>
          <w:sz w:val="24"/>
          <w:szCs w:val="24"/>
        </w:rPr>
        <w:t xml:space="preserve"> that were not treated with the ozonated water to the pesticide analytical laboratory. </w:t>
      </w:r>
      <w:r w:rsidR="00292A29">
        <w:rPr>
          <w:rFonts w:ascii="Times New Roman" w:hAnsi="Times New Roman" w:cs="Times New Roman"/>
          <w:bCs/>
          <w:sz w:val="24"/>
          <w:szCs w:val="24"/>
        </w:rPr>
        <w:t>We will also send samples to Yakima Chief for an analysis of the brewing qualities</w:t>
      </w:r>
      <w:r w:rsidR="001424E1">
        <w:rPr>
          <w:rFonts w:ascii="Times New Roman" w:hAnsi="Times New Roman" w:cs="Times New Roman"/>
          <w:bCs/>
          <w:sz w:val="24"/>
          <w:szCs w:val="24"/>
        </w:rPr>
        <w:t xml:space="preserve"> of the hops of hops treated and not treated with this ozonated </w:t>
      </w:r>
      <w:r w:rsidR="00EE52A8">
        <w:rPr>
          <w:rFonts w:ascii="Times New Roman" w:hAnsi="Times New Roman" w:cs="Times New Roman"/>
          <w:bCs/>
          <w:sz w:val="24"/>
          <w:szCs w:val="24"/>
        </w:rPr>
        <w:t xml:space="preserve">water prior to harvest to determine </w:t>
      </w:r>
      <w:r w:rsidR="00180B52">
        <w:rPr>
          <w:rFonts w:ascii="Times New Roman" w:hAnsi="Times New Roman" w:cs="Times New Roman"/>
          <w:bCs/>
          <w:sz w:val="24"/>
          <w:szCs w:val="24"/>
        </w:rPr>
        <w:t xml:space="preserve">whether </w:t>
      </w:r>
      <w:r w:rsidR="00EE52A8">
        <w:rPr>
          <w:rFonts w:ascii="Times New Roman" w:hAnsi="Times New Roman" w:cs="Times New Roman"/>
          <w:bCs/>
          <w:sz w:val="24"/>
          <w:szCs w:val="24"/>
        </w:rPr>
        <w:t xml:space="preserve">the ozone treatment </w:t>
      </w:r>
      <w:r w:rsidR="00180B52">
        <w:rPr>
          <w:rFonts w:ascii="Times New Roman" w:hAnsi="Times New Roman" w:cs="Times New Roman"/>
          <w:bCs/>
          <w:sz w:val="24"/>
          <w:szCs w:val="24"/>
        </w:rPr>
        <w:t>has any</w:t>
      </w:r>
      <w:r w:rsidR="00EE52A8">
        <w:rPr>
          <w:rFonts w:ascii="Times New Roman" w:hAnsi="Times New Roman" w:cs="Times New Roman"/>
          <w:bCs/>
          <w:sz w:val="24"/>
          <w:szCs w:val="24"/>
        </w:rPr>
        <w:t xml:space="preserve"> impact on the brewing qualities</w:t>
      </w:r>
      <w:r w:rsidR="00606D33">
        <w:rPr>
          <w:rFonts w:ascii="Times New Roman" w:hAnsi="Times New Roman" w:cs="Times New Roman"/>
          <w:bCs/>
          <w:sz w:val="24"/>
          <w:szCs w:val="24"/>
        </w:rPr>
        <w:t xml:space="preserve"> of </w:t>
      </w:r>
      <w:r w:rsidR="00180B52">
        <w:rPr>
          <w:rFonts w:ascii="Times New Roman" w:hAnsi="Times New Roman" w:cs="Times New Roman"/>
          <w:bCs/>
          <w:sz w:val="24"/>
          <w:szCs w:val="24"/>
        </w:rPr>
        <w:t xml:space="preserve">the </w:t>
      </w:r>
      <w:r w:rsidR="00606D33">
        <w:rPr>
          <w:rFonts w:ascii="Times New Roman" w:hAnsi="Times New Roman" w:cs="Times New Roman"/>
          <w:bCs/>
          <w:sz w:val="24"/>
          <w:szCs w:val="24"/>
        </w:rPr>
        <w:t xml:space="preserve">hops. </w:t>
      </w:r>
      <w:r w:rsidR="00337BF4">
        <w:rPr>
          <w:rFonts w:ascii="Times New Roman" w:hAnsi="Times New Roman" w:cs="Times New Roman"/>
          <w:bCs/>
          <w:sz w:val="24"/>
          <w:szCs w:val="24"/>
        </w:rPr>
        <w:t xml:space="preserve">This will be a comprehensive study to quantify if </w:t>
      </w:r>
      <w:r w:rsidR="0051777A">
        <w:rPr>
          <w:rFonts w:ascii="Times New Roman" w:hAnsi="Times New Roman" w:cs="Times New Roman"/>
          <w:bCs/>
          <w:sz w:val="24"/>
          <w:szCs w:val="24"/>
        </w:rPr>
        <w:t xml:space="preserve">the use of this ozonating technology can result in reduced pesticide residues </w:t>
      </w:r>
      <w:r w:rsidR="00292A29">
        <w:rPr>
          <w:rFonts w:ascii="Times New Roman" w:hAnsi="Times New Roman" w:cs="Times New Roman"/>
          <w:bCs/>
          <w:sz w:val="24"/>
          <w:szCs w:val="24"/>
        </w:rPr>
        <w:t xml:space="preserve">on hops without impacting </w:t>
      </w:r>
      <w:r w:rsidR="00606D33">
        <w:rPr>
          <w:rFonts w:ascii="Times New Roman" w:hAnsi="Times New Roman" w:cs="Times New Roman"/>
          <w:bCs/>
          <w:sz w:val="24"/>
          <w:szCs w:val="24"/>
        </w:rPr>
        <w:t>brewing quality.</w:t>
      </w:r>
    </w:p>
    <w:p w14:paraId="63A43B92" w14:textId="77777777" w:rsidR="00D85303" w:rsidRDefault="00D85303" w:rsidP="00C66344">
      <w:pPr>
        <w:spacing w:after="0"/>
        <w:rPr>
          <w:rFonts w:ascii="Times New Roman" w:hAnsi="Times New Roman" w:cs="Times New Roman"/>
          <w:sz w:val="24"/>
          <w:szCs w:val="24"/>
        </w:rPr>
      </w:pPr>
    </w:p>
    <w:p w14:paraId="2E8E3545" w14:textId="77777777" w:rsidR="00480C00" w:rsidRDefault="00480C00" w:rsidP="00C66344">
      <w:pPr>
        <w:spacing w:after="0"/>
        <w:rPr>
          <w:rFonts w:ascii="Times New Roman" w:hAnsi="Times New Roman" w:cs="Times New Roman"/>
          <w:b/>
          <w:sz w:val="24"/>
          <w:szCs w:val="24"/>
        </w:rPr>
      </w:pPr>
      <w:r w:rsidRPr="00480C00">
        <w:rPr>
          <w:rFonts w:ascii="Times New Roman" w:hAnsi="Times New Roman" w:cs="Times New Roman"/>
          <w:b/>
          <w:sz w:val="24"/>
          <w:szCs w:val="24"/>
        </w:rPr>
        <w:t xml:space="preserve">Outcomes: </w:t>
      </w:r>
    </w:p>
    <w:p w14:paraId="209E5AC1" w14:textId="58E1A6AD" w:rsidR="00480C00" w:rsidRPr="00A85CF1" w:rsidRDefault="00150F9A" w:rsidP="00C66344">
      <w:pPr>
        <w:spacing w:after="0"/>
        <w:rPr>
          <w:rFonts w:ascii="Times New Roman" w:hAnsi="Times New Roman" w:cs="Times New Roman"/>
          <w:sz w:val="24"/>
          <w:szCs w:val="24"/>
        </w:rPr>
      </w:pPr>
      <w:r>
        <w:rPr>
          <w:rFonts w:ascii="Times New Roman" w:hAnsi="Times New Roman" w:cs="Times New Roman"/>
          <w:b/>
          <w:sz w:val="24"/>
          <w:szCs w:val="24"/>
        </w:rPr>
        <w:t xml:space="preserve">a) Aphicide </w:t>
      </w:r>
      <w:r w:rsidR="00571BB3">
        <w:rPr>
          <w:rFonts w:ascii="Times New Roman" w:hAnsi="Times New Roman" w:cs="Times New Roman"/>
          <w:b/>
          <w:sz w:val="24"/>
          <w:szCs w:val="24"/>
        </w:rPr>
        <w:t>e</w:t>
      </w:r>
      <w:r>
        <w:rPr>
          <w:rFonts w:ascii="Times New Roman" w:hAnsi="Times New Roman" w:cs="Times New Roman"/>
          <w:b/>
          <w:sz w:val="24"/>
          <w:szCs w:val="24"/>
        </w:rPr>
        <w:t>fficacy</w:t>
      </w:r>
      <w:r w:rsidR="003E1B74">
        <w:rPr>
          <w:rFonts w:ascii="Times New Roman" w:hAnsi="Times New Roman" w:cs="Times New Roman"/>
          <w:b/>
          <w:sz w:val="24"/>
          <w:szCs w:val="24"/>
        </w:rPr>
        <w:t xml:space="preserve"> and impacts</w:t>
      </w:r>
      <w:r w:rsidR="005E2B4D">
        <w:rPr>
          <w:rFonts w:ascii="Times New Roman" w:hAnsi="Times New Roman" w:cs="Times New Roman"/>
          <w:b/>
          <w:sz w:val="24"/>
          <w:szCs w:val="24"/>
        </w:rPr>
        <w:t>.</w:t>
      </w:r>
      <w:r>
        <w:rPr>
          <w:rFonts w:ascii="Times New Roman" w:hAnsi="Times New Roman" w:cs="Times New Roman"/>
          <w:b/>
          <w:sz w:val="24"/>
          <w:szCs w:val="24"/>
        </w:rPr>
        <w:t xml:space="preserve"> </w:t>
      </w:r>
      <w:r w:rsidR="00A85CF1" w:rsidRPr="00A85CF1">
        <w:rPr>
          <w:rFonts w:ascii="Times New Roman" w:hAnsi="Times New Roman" w:cs="Times New Roman"/>
          <w:sz w:val="24"/>
          <w:szCs w:val="24"/>
        </w:rPr>
        <w:t xml:space="preserve">Short-term, we will have an indication of the relative efficacies of the various </w:t>
      </w:r>
      <w:r w:rsidR="001C3662">
        <w:rPr>
          <w:rFonts w:ascii="Times New Roman" w:hAnsi="Times New Roman" w:cs="Times New Roman"/>
          <w:sz w:val="24"/>
          <w:szCs w:val="24"/>
        </w:rPr>
        <w:t xml:space="preserve">compounds applied. We will </w:t>
      </w:r>
      <w:r w:rsidR="003B59F4">
        <w:rPr>
          <w:rFonts w:ascii="Times New Roman" w:hAnsi="Times New Roman" w:cs="Times New Roman"/>
          <w:sz w:val="24"/>
          <w:szCs w:val="24"/>
        </w:rPr>
        <w:t>determine both the</w:t>
      </w:r>
      <w:r w:rsidR="00A85CF1">
        <w:rPr>
          <w:rFonts w:ascii="Times New Roman" w:hAnsi="Times New Roman" w:cs="Times New Roman"/>
          <w:sz w:val="24"/>
          <w:szCs w:val="24"/>
        </w:rPr>
        <w:t xml:space="preserve"> positive impact </w:t>
      </w:r>
      <w:r w:rsidR="003B59F4">
        <w:rPr>
          <w:rFonts w:ascii="Times New Roman" w:hAnsi="Times New Roman" w:cs="Times New Roman"/>
          <w:sz w:val="24"/>
          <w:szCs w:val="24"/>
        </w:rPr>
        <w:t xml:space="preserve">of </w:t>
      </w:r>
      <w:r w:rsidR="00A85CF1">
        <w:rPr>
          <w:rFonts w:ascii="Times New Roman" w:hAnsi="Times New Roman" w:cs="Times New Roman"/>
          <w:sz w:val="24"/>
          <w:szCs w:val="24"/>
        </w:rPr>
        <w:t>decrea</w:t>
      </w:r>
      <w:r w:rsidR="003B59F4">
        <w:rPr>
          <w:rFonts w:ascii="Times New Roman" w:hAnsi="Times New Roman" w:cs="Times New Roman"/>
          <w:sz w:val="24"/>
          <w:szCs w:val="24"/>
        </w:rPr>
        <w:t>se in</w:t>
      </w:r>
      <w:r w:rsidR="00A85CF1">
        <w:rPr>
          <w:rFonts w:ascii="Times New Roman" w:hAnsi="Times New Roman" w:cs="Times New Roman"/>
          <w:sz w:val="24"/>
          <w:szCs w:val="24"/>
        </w:rPr>
        <w:t xml:space="preserve"> aphid abundance and </w:t>
      </w:r>
      <w:r w:rsidR="003B59F4">
        <w:rPr>
          <w:rFonts w:ascii="Times New Roman" w:hAnsi="Times New Roman" w:cs="Times New Roman"/>
          <w:sz w:val="24"/>
          <w:szCs w:val="24"/>
        </w:rPr>
        <w:t xml:space="preserve">any </w:t>
      </w:r>
      <w:r w:rsidR="00A85CF1">
        <w:rPr>
          <w:rFonts w:ascii="Times New Roman" w:hAnsi="Times New Roman" w:cs="Times New Roman"/>
          <w:sz w:val="24"/>
          <w:szCs w:val="24"/>
        </w:rPr>
        <w:t>negative impacts of reducing the abundance of beneficial arthropods</w:t>
      </w:r>
      <w:r w:rsidR="00A85CF1" w:rsidRPr="00A85CF1">
        <w:rPr>
          <w:rFonts w:ascii="Times New Roman" w:hAnsi="Times New Roman" w:cs="Times New Roman"/>
          <w:sz w:val="24"/>
          <w:szCs w:val="24"/>
        </w:rPr>
        <w:t xml:space="preserve">. Medium-term, we may seek and achieve registrations of promising candidate compounds to expand the </w:t>
      </w:r>
      <w:r w:rsidR="00A85CF1">
        <w:rPr>
          <w:rFonts w:ascii="Times New Roman" w:hAnsi="Times New Roman" w:cs="Times New Roman"/>
          <w:sz w:val="24"/>
          <w:szCs w:val="24"/>
        </w:rPr>
        <w:t>aphid</w:t>
      </w:r>
      <w:r w:rsidR="00A85CF1" w:rsidRPr="00A85CF1">
        <w:rPr>
          <w:rFonts w:ascii="Times New Roman" w:hAnsi="Times New Roman" w:cs="Times New Roman"/>
          <w:sz w:val="24"/>
          <w:szCs w:val="24"/>
        </w:rPr>
        <w:t xml:space="preserve"> management toolkit. Long-term, we hope to achieve sustainable </w:t>
      </w:r>
      <w:r w:rsidR="00A85CF1">
        <w:rPr>
          <w:rFonts w:ascii="Times New Roman" w:hAnsi="Times New Roman" w:cs="Times New Roman"/>
          <w:sz w:val="24"/>
          <w:szCs w:val="24"/>
        </w:rPr>
        <w:t>aphid</w:t>
      </w:r>
      <w:r w:rsidR="00A85CF1" w:rsidRPr="00A85CF1">
        <w:rPr>
          <w:rFonts w:ascii="Times New Roman" w:hAnsi="Times New Roman" w:cs="Times New Roman"/>
          <w:sz w:val="24"/>
          <w:szCs w:val="24"/>
        </w:rPr>
        <w:t xml:space="preserve"> management under a wide range of conditions and infestation levels.</w:t>
      </w:r>
      <w:r w:rsidR="00A85CF1">
        <w:rPr>
          <w:rFonts w:ascii="Times New Roman" w:hAnsi="Times New Roman" w:cs="Times New Roman"/>
          <w:sz w:val="24"/>
          <w:szCs w:val="24"/>
        </w:rPr>
        <w:t xml:space="preserve"> Finding alternatives to the widely used neonicotinyl insecticides is imperative. </w:t>
      </w:r>
    </w:p>
    <w:p w14:paraId="760C6AE9" w14:textId="77777777" w:rsidR="00480C00" w:rsidRDefault="00480C00" w:rsidP="00C66344">
      <w:pPr>
        <w:spacing w:after="0"/>
        <w:rPr>
          <w:rFonts w:ascii="Times New Roman" w:hAnsi="Times New Roman" w:cs="Times New Roman"/>
          <w:sz w:val="24"/>
          <w:szCs w:val="24"/>
        </w:rPr>
      </w:pPr>
    </w:p>
    <w:p w14:paraId="725FB015" w14:textId="314A85C6" w:rsidR="00192AC4" w:rsidRDefault="00A85CF1" w:rsidP="005A6623">
      <w:pPr>
        <w:spacing w:after="120"/>
        <w:rPr>
          <w:rFonts w:ascii="Times New Roman" w:hAnsi="Times New Roman" w:cs="Times New Roman"/>
          <w:b/>
          <w:sz w:val="24"/>
          <w:szCs w:val="24"/>
        </w:rPr>
      </w:pPr>
      <w:r w:rsidRPr="00A85CF1">
        <w:rPr>
          <w:rFonts w:ascii="Times New Roman" w:hAnsi="Times New Roman" w:cs="Times New Roman"/>
          <w:b/>
          <w:sz w:val="24"/>
          <w:szCs w:val="24"/>
        </w:rPr>
        <w:t xml:space="preserve">b) </w:t>
      </w:r>
      <w:r>
        <w:rPr>
          <w:rFonts w:ascii="Times New Roman" w:hAnsi="Times New Roman" w:cs="Times New Roman"/>
          <w:b/>
          <w:sz w:val="24"/>
          <w:szCs w:val="24"/>
        </w:rPr>
        <w:t xml:space="preserve">Pesticide tests on other pests. </w:t>
      </w:r>
      <w:r w:rsidRPr="00A85CF1">
        <w:rPr>
          <w:rFonts w:ascii="Times New Roman" w:hAnsi="Times New Roman" w:cs="Times New Roman"/>
          <w:sz w:val="24"/>
          <w:szCs w:val="24"/>
        </w:rPr>
        <w:t>Short-term</w:t>
      </w:r>
      <w:r w:rsidRPr="005E2B4D">
        <w:rPr>
          <w:rFonts w:ascii="Times New Roman" w:hAnsi="Times New Roman" w:cs="Times New Roman"/>
          <w:sz w:val="24"/>
          <w:szCs w:val="24"/>
        </w:rPr>
        <w:t xml:space="preserve">, </w:t>
      </w:r>
      <w:r w:rsidR="005E2B4D">
        <w:rPr>
          <w:rFonts w:ascii="Times New Roman" w:hAnsi="Times New Roman" w:cs="Times New Roman"/>
          <w:sz w:val="24"/>
          <w:szCs w:val="24"/>
        </w:rPr>
        <w:t>t</w:t>
      </w:r>
      <w:r w:rsidR="005E2B4D" w:rsidRPr="005E2B4D">
        <w:rPr>
          <w:rFonts w:ascii="Times New Roman" w:hAnsi="Times New Roman" w:cs="Times New Roman"/>
          <w:sz w:val="24"/>
          <w:szCs w:val="24"/>
        </w:rPr>
        <w:t xml:space="preserve">he Walsh </w:t>
      </w:r>
      <w:r w:rsidR="005E2B4D">
        <w:rPr>
          <w:rFonts w:ascii="Times New Roman" w:hAnsi="Times New Roman" w:cs="Times New Roman"/>
          <w:sz w:val="24"/>
          <w:szCs w:val="24"/>
        </w:rPr>
        <w:t>entomology research and Extension program strives to be nimble in response to pest issues and will respond to situations as they arise. Medium-term, as new problems continue, new objectives will be incorporated into future year proposals to the HRC, WHC, and other funding entities to complete research to fill required data needs. Long-term, we seek sustainable solutions in pest control in the ever-evolving hop IPM program amid ever</w:t>
      </w:r>
      <w:r w:rsidR="00180B52">
        <w:rPr>
          <w:rFonts w:ascii="Times New Roman" w:hAnsi="Times New Roman" w:cs="Times New Roman"/>
          <w:sz w:val="24"/>
          <w:szCs w:val="24"/>
        </w:rPr>
        <w:t>-</w:t>
      </w:r>
      <w:r w:rsidR="005E2B4D">
        <w:rPr>
          <w:rFonts w:ascii="Times New Roman" w:hAnsi="Times New Roman" w:cs="Times New Roman"/>
          <w:sz w:val="24"/>
          <w:szCs w:val="24"/>
        </w:rPr>
        <w:t xml:space="preserve">changing domestic and international regulation. </w:t>
      </w:r>
    </w:p>
    <w:p w14:paraId="4A56AAC4" w14:textId="25B56C24" w:rsidR="003B59F4" w:rsidRDefault="005E2B4D" w:rsidP="005A6623">
      <w:pPr>
        <w:spacing w:after="120"/>
        <w:rPr>
          <w:rFonts w:ascii="Times New Roman" w:hAnsi="Times New Roman" w:cs="Times New Roman"/>
          <w:sz w:val="24"/>
          <w:szCs w:val="24"/>
        </w:rPr>
      </w:pPr>
      <w:r>
        <w:rPr>
          <w:rFonts w:ascii="Times New Roman" w:hAnsi="Times New Roman" w:cs="Times New Roman"/>
          <w:b/>
          <w:sz w:val="24"/>
          <w:szCs w:val="24"/>
        </w:rPr>
        <w:t xml:space="preserve">c) </w:t>
      </w:r>
      <w:r w:rsidR="00A2319E" w:rsidRPr="00A2319E">
        <w:rPr>
          <w:rFonts w:ascii="Times New Roman" w:hAnsi="Times New Roman" w:cs="Times New Roman"/>
          <w:b/>
          <w:sz w:val="24"/>
          <w:szCs w:val="24"/>
        </w:rPr>
        <w:t>Insecticide trials on caterpillars.</w:t>
      </w:r>
      <w:r w:rsidR="00A2319E">
        <w:rPr>
          <w:rFonts w:ascii="Times New Roman" w:hAnsi="Times New Roman" w:cs="Times New Roman"/>
          <w:sz w:val="24"/>
          <w:szCs w:val="24"/>
        </w:rPr>
        <w:t xml:space="preserve"> Short-term, we hope to identify and demonstrate soft insecticides that will control pest caterpillars without disrupting all biological control. Shifting away from pyrethroid applications is imperative. Medium-term, </w:t>
      </w:r>
      <w:r w:rsidR="003B59F4">
        <w:rPr>
          <w:rFonts w:ascii="Times New Roman" w:hAnsi="Times New Roman" w:cs="Times New Roman"/>
          <w:sz w:val="24"/>
          <w:szCs w:val="24"/>
        </w:rPr>
        <w:t>i</w:t>
      </w:r>
      <w:r w:rsidR="00A2319E">
        <w:rPr>
          <w:rFonts w:ascii="Times New Roman" w:hAnsi="Times New Roman" w:cs="Times New Roman"/>
          <w:sz w:val="24"/>
          <w:szCs w:val="24"/>
        </w:rPr>
        <w:t>dentifying, registering, and getting insecticides off the hop merchants</w:t>
      </w:r>
      <w:r w:rsidR="00180B52">
        <w:rPr>
          <w:rFonts w:ascii="Times New Roman" w:hAnsi="Times New Roman" w:cs="Times New Roman"/>
          <w:sz w:val="24"/>
          <w:szCs w:val="24"/>
        </w:rPr>
        <w:t>’</w:t>
      </w:r>
      <w:r w:rsidR="00A2319E">
        <w:rPr>
          <w:rFonts w:ascii="Times New Roman" w:hAnsi="Times New Roman" w:cs="Times New Roman"/>
          <w:sz w:val="24"/>
          <w:szCs w:val="24"/>
        </w:rPr>
        <w:t xml:space="preserve"> do-not-spray lists is our objective in caterpillar control. Long-term</w:t>
      </w:r>
      <w:r w:rsidR="003B59F4">
        <w:rPr>
          <w:rFonts w:ascii="Times New Roman" w:hAnsi="Times New Roman" w:cs="Times New Roman"/>
          <w:sz w:val="24"/>
          <w:szCs w:val="24"/>
        </w:rPr>
        <w:t>, we seek</w:t>
      </w:r>
      <w:r w:rsidR="00A2319E">
        <w:rPr>
          <w:rFonts w:ascii="Times New Roman" w:hAnsi="Times New Roman" w:cs="Times New Roman"/>
          <w:sz w:val="24"/>
          <w:szCs w:val="24"/>
        </w:rPr>
        <w:t xml:space="preserve"> sustainable alternatives to neonicotinyl and pyrethroid insecticides that provide effective control of pest caterpillars. </w:t>
      </w:r>
      <w:r>
        <w:rPr>
          <w:rFonts w:ascii="Times New Roman" w:hAnsi="Times New Roman" w:cs="Times New Roman"/>
          <w:sz w:val="24"/>
          <w:szCs w:val="24"/>
        </w:rPr>
        <w:t xml:space="preserve"> </w:t>
      </w:r>
    </w:p>
    <w:p w14:paraId="3AA8B583" w14:textId="0B175840" w:rsidR="003B59F4" w:rsidRPr="003B59F4" w:rsidRDefault="00804D61" w:rsidP="005A6623">
      <w:pPr>
        <w:spacing w:after="120"/>
        <w:rPr>
          <w:rFonts w:ascii="Times New Roman" w:hAnsi="Times New Roman" w:cs="Times New Roman"/>
          <w:sz w:val="24"/>
          <w:szCs w:val="24"/>
        </w:rPr>
      </w:pPr>
      <w:r>
        <w:rPr>
          <w:rFonts w:ascii="Times New Roman" w:hAnsi="Times New Roman" w:cs="Times New Roman"/>
          <w:b/>
          <w:sz w:val="24"/>
          <w:szCs w:val="24"/>
        </w:rPr>
        <w:t>d</w:t>
      </w:r>
      <w:r w:rsidR="00A2319E" w:rsidRPr="00383380">
        <w:rPr>
          <w:rFonts w:ascii="Times New Roman" w:hAnsi="Times New Roman" w:cs="Times New Roman"/>
          <w:b/>
          <w:sz w:val="24"/>
          <w:szCs w:val="24"/>
        </w:rPr>
        <w:t xml:space="preserve">) </w:t>
      </w:r>
      <w:r w:rsidR="00F35139">
        <w:rPr>
          <w:rFonts w:ascii="Times New Roman" w:hAnsi="Times New Roman" w:cs="Times New Roman"/>
          <w:b/>
          <w:sz w:val="24"/>
          <w:szCs w:val="24"/>
        </w:rPr>
        <w:t>Pesticide impacts on beneficial mites.</w:t>
      </w:r>
      <w:r w:rsidR="003B59F4">
        <w:rPr>
          <w:rFonts w:ascii="Times New Roman" w:hAnsi="Times New Roman" w:cs="Times New Roman"/>
          <w:bCs/>
          <w:sz w:val="24"/>
          <w:szCs w:val="24"/>
        </w:rPr>
        <w:t xml:space="preserve"> Short-term, we will gain knowledge about the impacts of registered and selected candidate insecticides on beneficial predatory mites at various concentrations. Medium-term, we can focus on additional and related chemistries to determine </w:t>
      </w:r>
      <w:r w:rsidR="003B59F4">
        <w:rPr>
          <w:rFonts w:ascii="Times New Roman" w:hAnsi="Times New Roman" w:cs="Times New Roman"/>
          <w:bCs/>
          <w:sz w:val="24"/>
          <w:szCs w:val="24"/>
        </w:rPr>
        <w:lastRenderedPageBreak/>
        <w:t>which other pesticides might be safe for beneficial mites while targeting pests. Also medium-term, we may seek registrations or label adjustments to reflect our findings and potentially expand the hop IPM toolkit in ways that protect beneficial mites. Long-term, our overall IPM recommendations will likely evolve to include pesticides more protective of these predators.</w:t>
      </w:r>
    </w:p>
    <w:p w14:paraId="65143455" w14:textId="12FADD97" w:rsidR="00B65C71" w:rsidRDefault="00804D61" w:rsidP="005A6623">
      <w:pPr>
        <w:spacing w:after="120"/>
        <w:rPr>
          <w:rFonts w:ascii="Times New Roman" w:hAnsi="Times New Roman" w:cs="Times New Roman"/>
          <w:sz w:val="24"/>
          <w:szCs w:val="24"/>
        </w:rPr>
      </w:pPr>
      <w:r>
        <w:rPr>
          <w:rFonts w:ascii="Times New Roman" w:hAnsi="Times New Roman" w:cs="Times New Roman"/>
          <w:b/>
          <w:sz w:val="24"/>
          <w:szCs w:val="24"/>
        </w:rPr>
        <w:t>e</w:t>
      </w:r>
      <w:r w:rsidR="00F35139">
        <w:rPr>
          <w:rFonts w:ascii="Times New Roman" w:hAnsi="Times New Roman" w:cs="Times New Roman"/>
          <w:b/>
          <w:sz w:val="24"/>
          <w:szCs w:val="24"/>
        </w:rPr>
        <w:t>) Export viability / p</w:t>
      </w:r>
      <w:r w:rsidR="00A2319E" w:rsidRPr="00383380">
        <w:rPr>
          <w:rFonts w:ascii="Times New Roman" w:hAnsi="Times New Roman" w:cs="Times New Roman"/>
          <w:b/>
          <w:sz w:val="24"/>
          <w:szCs w:val="24"/>
        </w:rPr>
        <w:t>esticide residues.</w:t>
      </w:r>
      <w:r w:rsidR="00A2319E">
        <w:rPr>
          <w:rFonts w:ascii="Times New Roman" w:hAnsi="Times New Roman" w:cs="Times New Roman"/>
          <w:sz w:val="24"/>
          <w:szCs w:val="24"/>
        </w:rPr>
        <w:t xml:space="preserve"> </w:t>
      </w:r>
      <w:r w:rsidR="00383380">
        <w:rPr>
          <w:rFonts w:ascii="Times New Roman" w:hAnsi="Times New Roman" w:cs="Times New Roman"/>
          <w:sz w:val="24"/>
          <w:szCs w:val="24"/>
        </w:rPr>
        <w:t>S</w:t>
      </w:r>
      <w:r w:rsidR="00F35139">
        <w:rPr>
          <w:rFonts w:ascii="Times New Roman" w:hAnsi="Times New Roman" w:cs="Times New Roman"/>
          <w:sz w:val="24"/>
          <w:szCs w:val="24"/>
        </w:rPr>
        <w:t>h</w:t>
      </w:r>
      <w:r w:rsidR="00383380">
        <w:rPr>
          <w:rFonts w:ascii="Times New Roman" w:hAnsi="Times New Roman" w:cs="Times New Roman"/>
          <w:sz w:val="24"/>
          <w:szCs w:val="24"/>
        </w:rPr>
        <w:t xml:space="preserve">ort-term, </w:t>
      </w:r>
      <w:r w:rsidR="003B59F4">
        <w:rPr>
          <w:rFonts w:ascii="Times New Roman" w:hAnsi="Times New Roman" w:cs="Times New Roman"/>
          <w:sz w:val="24"/>
          <w:szCs w:val="24"/>
        </w:rPr>
        <w:t xml:space="preserve">we will </w:t>
      </w:r>
      <w:r w:rsidR="00383380">
        <w:rPr>
          <w:rFonts w:ascii="Times New Roman" w:hAnsi="Times New Roman" w:cs="Times New Roman"/>
          <w:sz w:val="24"/>
          <w:szCs w:val="24"/>
        </w:rPr>
        <w:t xml:space="preserve">quantify actual pesticide residues on a cohort of hop varieties given a more real-world use pattern of pesticides </w:t>
      </w:r>
      <w:r w:rsidR="003E1B74">
        <w:rPr>
          <w:rFonts w:ascii="Times New Roman" w:hAnsi="Times New Roman" w:cs="Times New Roman"/>
          <w:sz w:val="24"/>
          <w:szCs w:val="24"/>
        </w:rPr>
        <w:t xml:space="preserve">than </w:t>
      </w:r>
      <w:r w:rsidR="00383380">
        <w:rPr>
          <w:rFonts w:ascii="Times New Roman" w:hAnsi="Times New Roman" w:cs="Times New Roman"/>
          <w:sz w:val="24"/>
          <w:szCs w:val="24"/>
        </w:rPr>
        <w:t xml:space="preserve">protocols followed by IR-4 in developing domestic tolerances for pesticides on hops. Medium-term, </w:t>
      </w:r>
      <w:r w:rsidR="00EE0B9F">
        <w:rPr>
          <w:rFonts w:ascii="Times New Roman" w:hAnsi="Times New Roman" w:cs="Times New Roman"/>
          <w:sz w:val="24"/>
          <w:szCs w:val="24"/>
        </w:rPr>
        <w:t xml:space="preserve">we seek to have </w:t>
      </w:r>
      <w:r w:rsidR="00383380">
        <w:rPr>
          <w:rFonts w:ascii="Times New Roman" w:hAnsi="Times New Roman" w:cs="Times New Roman"/>
          <w:sz w:val="24"/>
          <w:szCs w:val="24"/>
        </w:rPr>
        <w:t xml:space="preserve">specific pesticides </w:t>
      </w:r>
      <w:r w:rsidR="00EE0B9F">
        <w:rPr>
          <w:rFonts w:ascii="Times New Roman" w:hAnsi="Times New Roman" w:cs="Times New Roman"/>
          <w:sz w:val="24"/>
          <w:szCs w:val="24"/>
        </w:rPr>
        <w:t xml:space="preserve">removed from </w:t>
      </w:r>
      <w:r w:rsidR="00383380">
        <w:rPr>
          <w:rFonts w:ascii="Times New Roman" w:hAnsi="Times New Roman" w:cs="Times New Roman"/>
          <w:sz w:val="24"/>
          <w:szCs w:val="24"/>
        </w:rPr>
        <w:t>hop merchants</w:t>
      </w:r>
      <w:r w:rsidR="00180B52">
        <w:rPr>
          <w:rFonts w:ascii="Times New Roman" w:hAnsi="Times New Roman" w:cs="Times New Roman"/>
          <w:sz w:val="24"/>
          <w:szCs w:val="24"/>
        </w:rPr>
        <w:t>’</w:t>
      </w:r>
      <w:r w:rsidR="00383380">
        <w:rPr>
          <w:rFonts w:ascii="Times New Roman" w:hAnsi="Times New Roman" w:cs="Times New Roman"/>
          <w:sz w:val="24"/>
          <w:szCs w:val="24"/>
        </w:rPr>
        <w:t xml:space="preserve"> do-not-spray lists or get specific restrictions mitigated to permit uses that will result in residue levels acceptable in key export markets. Long-term, </w:t>
      </w:r>
      <w:r w:rsidR="00EE0B9F">
        <w:rPr>
          <w:rFonts w:ascii="Times New Roman" w:hAnsi="Times New Roman" w:cs="Times New Roman"/>
          <w:sz w:val="24"/>
          <w:szCs w:val="24"/>
        </w:rPr>
        <w:t xml:space="preserve">this work should </w:t>
      </w:r>
      <w:r w:rsidR="00383380">
        <w:rPr>
          <w:rFonts w:ascii="Times New Roman" w:hAnsi="Times New Roman" w:cs="Times New Roman"/>
          <w:sz w:val="24"/>
          <w:szCs w:val="24"/>
        </w:rPr>
        <w:t>permit US hop growers to apply pesticides for which we</w:t>
      </w:r>
      <w:r w:rsidR="00EE0B9F">
        <w:rPr>
          <w:rFonts w:ascii="Times New Roman" w:hAnsi="Times New Roman" w:cs="Times New Roman"/>
          <w:sz w:val="24"/>
          <w:szCs w:val="24"/>
        </w:rPr>
        <w:t>,</w:t>
      </w:r>
      <w:r w:rsidR="00383380">
        <w:rPr>
          <w:rFonts w:ascii="Times New Roman" w:hAnsi="Times New Roman" w:cs="Times New Roman"/>
          <w:sz w:val="24"/>
          <w:szCs w:val="24"/>
        </w:rPr>
        <w:t xml:space="preserve"> via IR-4</w:t>
      </w:r>
      <w:r w:rsidR="00EE0B9F">
        <w:rPr>
          <w:rFonts w:ascii="Times New Roman" w:hAnsi="Times New Roman" w:cs="Times New Roman"/>
          <w:sz w:val="24"/>
          <w:szCs w:val="24"/>
        </w:rPr>
        <w:t>,</w:t>
      </w:r>
      <w:r w:rsidR="00383380">
        <w:rPr>
          <w:rFonts w:ascii="Times New Roman" w:hAnsi="Times New Roman" w:cs="Times New Roman"/>
          <w:sz w:val="24"/>
          <w:szCs w:val="24"/>
        </w:rPr>
        <w:t xml:space="preserve"> have </w:t>
      </w:r>
      <w:r w:rsidR="00B65C71">
        <w:rPr>
          <w:rFonts w:ascii="Times New Roman" w:hAnsi="Times New Roman" w:cs="Times New Roman"/>
          <w:sz w:val="24"/>
          <w:szCs w:val="24"/>
        </w:rPr>
        <w:t>spent the time, money, and effort to obtain tolerances on US</w:t>
      </w:r>
      <w:r w:rsidR="00EE0B9F">
        <w:rPr>
          <w:rFonts w:ascii="Times New Roman" w:hAnsi="Times New Roman" w:cs="Times New Roman"/>
          <w:sz w:val="24"/>
          <w:szCs w:val="24"/>
        </w:rPr>
        <w:t>-</w:t>
      </w:r>
      <w:r w:rsidR="00B65C71">
        <w:rPr>
          <w:rFonts w:ascii="Times New Roman" w:hAnsi="Times New Roman" w:cs="Times New Roman"/>
          <w:sz w:val="24"/>
          <w:szCs w:val="24"/>
        </w:rPr>
        <w:t xml:space="preserve">produced hops. </w:t>
      </w:r>
    </w:p>
    <w:p w14:paraId="544347A4" w14:textId="19D3771C" w:rsidR="00571BB3" w:rsidRDefault="00804D61">
      <w:pPr>
        <w:rPr>
          <w:rFonts w:ascii="Times New Roman" w:hAnsi="Times New Roman" w:cs="Times New Roman"/>
          <w:sz w:val="24"/>
          <w:szCs w:val="24"/>
        </w:rPr>
      </w:pPr>
      <w:r>
        <w:rPr>
          <w:rFonts w:ascii="Times New Roman" w:hAnsi="Times New Roman" w:cs="Times New Roman"/>
          <w:b/>
          <w:sz w:val="24"/>
          <w:szCs w:val="24"/>
        </w:rPr>
        <w:t>f</w:t>
      </w:r>
      <w:r w:rsidR="00B65C71" w:rsidRPr="00B65C71">
        <w:rPr>
          <w:rFonts w:ascii="Times New Roman" w:hAnsi="Times New Roman" w:cs="Times New Roman"/>
          <w:b/>
          <w:sz w:val="24"/>
          <w:szCs w:val="24"/>
        </w:rPr>
        <w:t xml:space="preserve">) </w:t>
      </w:r>
      <w:r w:rsidR="00324BAC">
        <w:rPr>
          <w:rFonts w:ascii="Times New Roman" w:hAnsi="Times New Roman" w:cs="Times New Roman"/>
          <w:b/>
          <w:sz w:val="24"/>
          <w:szCs w:val="24"/>
        </w:rPr>
        <w:t>O</w:t>
      </w:r>
      <w:r w:rsidR="00CD0B39" w:rsidRPr="00CD0B39">
        <w:rPr>
          <w:rFonts w:ascii="Times New Roman" w:hAnsi="Times New Roman" w:cs="Times New Roman"/>
          <w:b/>
          <w:sz w:val="24"/>
          <w:szCs w:val="24"/>
        </w:rPr>
        <w:t xml:space="preserve">zonated water </w:t>
      </w:r>
      <w:r w:rsidR="00324BAC">
        <w:rPr>
          <w:rFonts w:ascii="Times New Roman" w:hAnsi="Times New Roman" w:cs="Times New Roman"/>
          <w:b/>
          <w:sz w:val="24"/>
          <w:szCs w:val="24"/>
        </w:rPr>
        <w:t>to reduce</w:t>
      </w:r>
      <w:r w:rsidR="00CD0B39" w:rsidRPr="00CD0B39">
        <w:rPr>
          <w:rFonts w:ascii="Times New Roman" w:hAnsi="Times New Roman" w:cs="Times New Roman"/>
          <w:b/>
          <w:sz w:val="24"/>
          <w:szCs w:val="24"/>
        </w:rPr>
        <w:t xml:space="preserve"> pesticide residues.</w:t>
      </w:r>
      <w:r w:rsidR="00B65C71">
        <w:rPr>
          <w:rFonts w:ascii="Times New Roman" w:hAnsi="Times New Roman" w:cs="Times New Roman"/>
          <w:sz w:val="24"/>
          <w:szCs w:val="24"/>
        </w:rPr>
        <w:t xml:space="preserve"> Short-term</w:t>
      </w:r>
      <w:r w:rsidR="000E2CB7">
        <w:rPr>
          <w:rFonts w:ascii="Times New Roman" w:hAnsi="Times New Roman" w:cs="Times New Roman"/>
          <w:sz w:val="24"/>
          <w:szCs w:val="24"/>
        </w:rPr>
        <w:t>,</w:t>
      </w:r>
      <w:r w:rsidR="00B55606">
        <w:rPr>
          <w:rFonts w:ascii="Times New Roman" w:hAnsi="Times New Roman" w:cs="Times New Roman"/>
          <w:sz w:val="24"/>
          <w:szCs w:val="24"/>
        </w:rPr>
        <w:t xml:space="preserve"> we will </w:t>
      </w:r>
      <w:r w:rsidR="00180B52">
        <w:rPr>
          <w:rFonts w:ascii="Times New Roman" w:hAnsi="Times New Roman" w:cs="Times New Roman"/>
          <w:sz w:val="24"/>
          <w:szCs w:val="24"/>
        </w:rPr>
        <w:t>determine whether</w:t>
      </w:r>
      <w:r w:rsidR="00B55606">
        <w:rPr>
          <w:rFonts w:ascii="Times New Roman" w:hAnsi="Times New Roman" w:cs="Times New Roman"/>
          <w:sz w:val="24"/>
          <w:szCs w:val="24"/>
        </w:rPr>
        <w:t xml:space="preserve"> the technology of applying ozonated water prior to </w:t>
      </w:r>
      <w:r w:rsidR="00C6568E">
        <w:rPr>
          <w:rFonts w:ascii="Times New Roman" w:hAnsi="Times New Roman" w:cs="Times New Roman"/>
          <w:sz w:val="24"/>
          <w:szCs w:val="24"/>
        </w:rPr>
        <w:t>harvest can reduce pesticide residues without impacting the brewing quality of hops</w:t>
      </w:r>
      <w:r w:rsidR="006919CF">
        <w:rPr>
          <w:rFonts w:ascii="Times New Roman" w:hAnsi="Times New Roman" w:cs="Times New Roman"/>
          <w:sz w:val="24"/>
          <w:szCs w:val="24"/>
        </w:rPr>
        <w:t>. Medium-term</w:t>
      </w:r>
      <w:r w:rsidR="009436FB">
        <w:rPr>
          <w:rFonts w:ascii="Times New Roman" w:hAnsi="Times New Roman" w:cs="Times New Roman"/>
          <w:sz w:val="24"/>
          <w:szCs w:val="24"/>
        </w:rPr>
        <w:t xml:space="preserve">, we will seek cost-effective ways for hop </w:t>
      </w:r>
      <w:r w:rsidR="00457C77">
        <w:rPr>
          <w:rFonts w:ascii="Times New Roman" w:hAnsi="Times New Roman" w:cs="Times New Roman"/>
          <w:sz w:val="24"/>
          <w:szCs w:val="24"/>
        </w:rPr>
        <w:t>growers</w:t>
      </w:r>
      <w:r w:rsidR="009436FB">
        <w:rPr>
          <w:rFonts w:ascii="Times New Roman" w:hAnsi="Times New Roman" w:cs="Times New Roman"/>
          <w:sz w:val="24"/>
          <w:szCs w:val="24"/>
        </w:rPr>
        <w:t xml:space="preserve"> to adopt this </w:t>
      </w:r>
      <w:r w:rsidR="00457C77">
        <w:rPr>
          <w:rFonts w:ascii="Times New Roman" w:hAnsi="Times New Roman" w:cs="Times New Roman"/>
          <w:sz w:val="24"/>
          <w:szCs w:val="24"/>
        </w:rPr>
        <w:t>ozone augmentation technology towards reducing pesticide residue on hops</w:t>
      </w:r>
      <w:r w:rsidR="006919CF">
        <w:rPr>
          <w:rFonts w:ascii="Times New Roman" w:hAnsi="Times New Roman" w:cs="Times New Roman"/>
          <w:sz w:val="24"/>
          <w:szCs w:val="24"/>
        </w:rPr>
        <w:t xml:space="preserve">. Long-term, </w:t>
      </w:r>
      <w:r w:rsidR="00457C77">
        <w:rPr>
          <w:rFonts w:ascii="Times New Roman" w:hAnsi="Times New Roman" w:cs="Times New Roman"/>
          <w:sz w:val="24"/>
          <w:szCs w:val="24"/>
        </w:rPr>
        <w:t xml:space="preserve">if </w:t>
      </w:r>
      <w:r w:rsidR="00EE0B9F">
        <w:rPr>
          <w:rFonts w:ascii="Times New Roman" w:hAnsi="Times New Roman" w:cs="Times New Roman"/>
          <w:sz w:val="24"/>
          <w:szCs w:val="24"/>
        </w:rPr>
        <w:t xml:space="preserve">we see </w:t>
      </w:r>
      <w:r w:rsidR="006919CF">
        <w:rPr>
          <w:rFonts w:ascii="Times New Roman" w:hAnsi="Times New Roman" w:cs="Times New Roman"/>
          <w:sz w:val="24"/>
          <w:szCs w:val="24"/>
        </w:rPr>
        <w:t xml:space="preserve">adoption of </w:t>
      </w:r>
      <w:r w:rsidR="00230339">
        <w:rPr>
          <w:rFonts w:ascii="Times New Roman" w:hAnsi="Times New Roman" w:cs="Times New Roman"/>
          <w:sz w:val="24"/>
          <w:szCs w:val="24"/>
        </w:rPr>
        <w:t>this technology and it truly decreases pesticide residues</w:t>
      </w:r>
      <w:r w:rsidR="00180B52">
        <w:rPr>
          <w:rFonts w:ascii="Times New Roman" w:hAnsi="Times New Roman" w:cs="Times New Roman"/>
          <w:sz w:val="24"/>
          <w:szCs w:val="24"/>
        </w:rPr>
        <w:t>,</w:t>
      </w:r>
      <w:r w:rsidR="00230339">
        <w:rPr>
          <w:rFonts w:ascii="Times New Roman" w:hAnsi="Times New Roman" w:cs="Times New Roman"/>
          <w:sz w:val="24"/>
          <w:szCs w:val="24"/>
        </w:rPr>
        <w:t xml:space="preserve"> we should see </w:t>
      </w:r>
      <w:r w:rsidR="009F1953">
        <w:rPr>
          <w:rFonts w:ascii="Times New Roman" w:hAnsi="Times New Roman" w:cs="Times New Roman"/>
          <w:sz w:val="24"/>
          <w:szCs w:val="24"/>
        </w:rPr>
        <w:t xml:space="preserve">a reduction </w:t>
      </w:r>
      <w:r w:rsidR="006919CF">
        <w:rPr>
          <w:rFonts w:ascii="Times New Roman" w:hAnsi="Times New Roman" w:cs="Times New Roman"/>
          <w:sz w:val="24"/>
          <w:szCs w:val="24"/>
        </w:rPr>
        <w:t xml:space="preserve">in </w:t>
      </w:r>
      <w:r w:rsidR="00556A19">
        <w:rPr>
          <w:rFonts w:ascii="Times New Roman" w:hAnsi="Times New Roman" w:cs="Times New Roman"/>
          <w:sz w:val="24"/>
          <w:szCs w:val="24"/>
        </w:rPr>
        <w:t>h</w:t>
      </w:r>
      <w:r w:rsidR="006919CF">
        <w:rPr>
          <w:rFonts w:ascii="Times New Roman" w:hAnsi="Times New Roman" w:cs="Times New Roman"/>
          <w:sz w:val="24"/>
          <w:szCs w:val="24"/>
        </w:rPr>
        <w:t xml:space="preserve">op </w:t>
      </w:r>
      <w:r w:rsidR="00556A19">
        <w:rPr>
          <w:rFonts w:ascii="Times New Roman" w:hAnsi="Times New Roman" w:cs="Times New Roman"/>
          <w:sz w:val="24"/>
          <w:szCs w:val="24"/>
        </w:rPr>
        <w:t>m</w:t>
      </w:r>
      <w:r w:rsidR="009F1953">
        <w:rPr>
          <w:rFonts w:ascii="Times New Roman" w:hAnsi="Times New Roman" w:cs="Times New Roman"/>
          <w:sz w:val="24"/>
          <w:szCs w:val="24"/>
        </w:rPr>
        <w:t xml:space="preserve">erchant restrictions </w:t>
      </w:r>
      <w:r w:rsidR="00556A19">
        <w:rPr>
          <w:rFonts w:ascii="Times New Roman" w:hAnsi="Times New Roman" w:cs="Times New Roman"/>
          <w:sz w:val="24"/>
          <w:szCs w:val="24"/>
        </w:rPr>
        <w:t>on key pesticides in hop IPM programs</w:t>
      </w:r>
      <w:r w:rsidR="006919CF">
        <w:rPr>
          <w:rFonts w:ascii="Times New Roman" w:hAnsi="Times New Roman" w:cs="Times New Roman"/>
          <w:sz w:val="24"/>
          <w:szCs w:val="24"/>
        </w:rPr>
        <w:t xml:space="preserve">. </w:t>
      </w:r>
      <w:r w:rsidR="000E2CB7">
        <w:rPr>
          <w:rFonts w:ascii="Times New Roman" w:hAnsi="Times New Roman" w:cs="Times New Roman"/>
          <w:sz w:val="24"/>
          <w:szCs w:val="24"/>
        </w:rPr>
        <w:t xml:space="preserve"> </w:t>
      </w:r>
    </w:p>
    <w:p w14:paraId="342050C5" w14:textId="77777777" w:rsidR="00571BB3" w:rsidRDefault="00571BB3" w:rsidP="00571BB3">
      <w:pPr>
        <w:spacing w:line="240" w:lineRule="auto"/>
        <w:rPr>
          <w:rFonts w:ascii="Times New Roman" w:hAnsi="Times New Roman" w:cs="Times New Roman"/>
          <w:sz w:val="24"/>
          <w:szCs w:val="24"/>
        </w:rPr>
        <w:sectPr w:rsidR="00571BB3" w:rsidSect="006A2437">
          <w:footerReference w:type="default" r:id="rId9"/>
          <w:pgSz w:w="12240" w:h="15840"/>
          <w:pgMar w:top="1440" w:right="1440" w:bottom="1440" w:left="1440" w:header="720" w:footer="720" w:gutter="0"/>
          <w:pgNumType w:start="1"/>
          <w:cols w:space="720"/>
          <w:docGrid w:linePitch="360"/>
        </w:sectPr>
      </w:pPr>
      <w:r>
        <w:rPr>
          <w:rFonts w:ascii="Times New Roman" w:hAnsi="Times New Roman" w:cs="Times New Roman"/>
          <w:b/>
          <w:bCs/>
          <w:sz w:val="24"/>
          <w:szCs w:val="24"/>
        </w:rPr>
        <w:t xml:space="preserve">Extension and Outreach Activities. </w:t>
      </w:r>
      <w:r>
        <w:rPr>
          <w:rFonts w:ascii="Times New Roman" w:hAnsi="Times New Roman" w:cs="Times New Roman"/>
          <w:sz w:val="24"/>
          <w:szCs w:val="24"/>
        </w:rPr>
        <w:t xml:space="preserve">Walsh and his team have a strong track record of two-way communication with hop industry leaders and stakeholders. We plan to continue our collaboration with Hop Growers of America, utilizing usahops.org as a tool for communication as well as making presentations at the American Hop Convention and meetings of HRC, Washington Hop Commission, Hop Industry Plant Protection Committee and other state and regional hop commissions and representative groups in addition to extensive one-on-one communications with growers and consultants. </w:t>
      </w:r>
    </w:p>
    <w:p w14:paraId="56C76883" w14:textId="2007A963" w:rsidR="00571BB3" w:rsidRPr="00A1345D" w:rsidRDefault="00571BB3" w:rsidP="00571BB3">
      <w:pPr>
        <w:rPr>
          <w:rFonts w:ascii="Times New Roman" w:hAnsi="Times New Roman" w:cs="Times New Roman"/>
          <w:b/>
          <w:bCs/>
          <w:color w:val="000000" w:themeColor="text1"/>
          <w:sz w:val="24"/>
          <w:szCs w:val="24"/>
        </w:rPr>
      </w:pPr>
      <w:r w:rsidRPr="00A1345D">
        <w:rPr>
          <w:rFonts w:ascii="Times New Roman" w:hAnsi="Times New Roman" w:cs="Times New Roman"/>
          <w:b/>
          <w:bCs/>
          <w:color w:val="000000" w:themeColor="text1"/>
          <w:sz w:val="24"/>
          <w:szCs w:val="24"/>
        </w:rPr>
        <w:lastRenderedPageBreak/>
        <w:t>Time Frame for Objectives</w:t>
      </w:r>
      <w:r w:rsidR="001B715C">
        <w:rPr>
          <w:rFonts w:ascii="Times New Roman" w:hAnsi="Times New Roman" w:cs="Times New Roman"/>
          <w:b/>
          <w:bCs/>
          <w:color w:val="000000" w:themeColor="text1"/>
          <w:sz w:val="24"/>
          <w:szCs w:val="24"/>
        </w:rPr>
        <w:t xml:space="preserve"> </w:t>
      </w: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29"/>
        <w:gridCol w:w="705"/>
        <w:gridCol w:w="706"/>
        <w:gridCol w:w="711"/>
        <w:gridCol w:w="706"/>
        <w:gridCol w:w="710"/>
        <w:gridCol w:w="706"/>
        <w:gridCol w:w="699"/>
        <w:gridCol w:w="712"/>
        <w:gridCol w:w="706"/>
        <w:gridCol w:w="707"/>
        <w:gridCol w:w="709"/>
        <w:gridCol w:w="708"/>
      </w:tblGrid>
      <w:tr w:rsidR="0022645E" w:rsidRPr="000214A8" w14:paraId="18655421" w14:textId="77777777" w:rsidTr="00D758CE">
        <w:trPr>
          <w:trHeight w:val="360"/>
          <w:jc w:val="center"/>
        </w:trPr>
        <w:tc>
          <w:tcPr>
            <w:tcW w:w="829" w:type="dxa"/>
            <w:shd w:val="solid" w:color="auto" w:fill="auto"/>
          </w:tcPr>
          <w:p w14:paraId="04315555" w14:textId="77777777" w:rsidR="0022645E" w:rsidRPr="00775FCD" w:rsidRDefault="0022645E" w:rsidP="00A163CC">
            <w:pPr>
              <w:rPr>
                <w:rFonts w:ascii="Arial" w:hAnsi="Arial" w:cs="Arial"/>
                <w:color w:val="000000" w:themeColor="text1"/>
                <w:sz w:val="20"/>
                <w:szCs w:val="20"/>
              </w:rPr>
            </w:pPr>
          </w:p>
        </w:tc>
        <w:tc>
          <w:tcPr>
            <w:tcW w:w="705" w:type="dxa"/>
            <w:shd w:val="solid" w:color="auto" w:fill="auto"/>
            <w:vAlign w:val="center"/>
          </w:tcPr>
          <w:p w14:paraId="73A34969"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JAN</w:t>
            </w:r>
          </w:p>
        </w:tc>
        <w:tc>
          <w:tcPr>
            <w:tcW w:w="706" w:type="dxa"/>
            <w:shd w:val="solid" w:color="auto" w:fill="auto"/>
            <w:vAlign w:val="center"/>
          </w:tcPr>
          <w:p w14:paraId="5A442F70"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FEB</w:t>
            </w:r>
          </w:p>
        </w:tc>
        <w:tc>
          <w:tcPr>
            <w:tcW w:w="711" w:type="dxa"/>
            <w:shd w:val="solid" w:color="auto" w:fill="auto"/>
            <w:vAlign w:val="center"/>
          </w:tcPr>
          <w:p w14:paraId="04DCC3EB"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MAR</w:t>
            </w:r>
          </w:p>
        </w:tc>
        <w:tc>
          <w:tcPr>
            <w:tcW w:w="706" w:type="dxa"/>
            <w:shd w:val="solid" w:color="auto" w:fill="auto"/>
            <w:vAlign w:val="center"/>
          </w:tcPr>
          <w:p w14:paraId="2454B4E3"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APR</w:t>
            </w:r>
          </w:p>
        </w:tc>
        <w:tc>
          <w:tcPr>
            <w:tcW w:w="710" w:type="dxa"/>
            <w:shd w:val="solid" w:color="auto" w:fill="auto"/>
            <w:vAlign w:val="center"/>
          </w:tcPr>
          <w:p w14:paraId="60AC29E0"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MAY</w:t>
            </w:r>
          </w:p>
        </w:tc>
        <w:tc>
          <w:tcPr>
            <w:tcW w:w="706" w:type="dxa"/>
            <w:shd w:val="solid" w:color="auto" w:fill="auto"/>
            <w:vAlign w:val="center"/>
          </w:tcPr>
          <w:p w14:paraId="47CF662B"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JUN</w:t>
            </w:r>
          </w:p>
        </w:tc>
        <w:tc>
          <w:tcPr>
            <w:tcW w:w="699" w:type="dxa"/>
            <w:shd w:val="solid" w:color="auto" w:fill="auto"/>
            <w:vAlign w:val="center"/>
          </w:tcPr>
          <w:p w14:paraId="7A8F59C2"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JUL</w:t>
            </w:r>
          </w:p>
        </w:tc>
        <w:tc>
          <w:tcPr>
            <w:tcW w:w="712" w:type="dxa"/>
            <w:shd w:val="solid" w:color="auto" w:fill="auto"/>
            <w:vAlign w:val="center"/>
          </w:tcPr>
          <w:p w14:paraId="68735505"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AUG</w:t>
            </w:r>
          </w:p>
        </w:tc>
        <w:tc>
          <w:tcPr>
            <w:tcW w:w="706" w:type="dxa"/>
            <w:shd w:val="solid" w:color="auto" w:fill="auto"/>
            <w:vAlign w:val="center"/>
          </w:tcPr>
          <w:p w14:paraId="2B91903D"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SEP</w:t>
            </w:r>
          </w:p>
        </w:tc>
        <w:tc>
          <w:tcPr>
            <w:tcW w:w="707" w:type="dxa"/>
            <w:shd w:val="solid" w:color="auto" w:fill="auto"/>
            <w:vAlign w:val="center"/>
          </w:tcPr>
          <w:p w14:paraId="0A572B76"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OCT</w:t>
            </w:r>
          </w:p>
        </w:tc>
        <w:tc>
          <w:tcPr>
            <w:tcW w:w="709" w:type="dxa"/>
            <w:shd w:val="solid" w:color="auto" w:fill="auto"/>
            <w:vAlign w:val="center"/>
          </w:tcPr>
          <w:p w14:paraId="4D2B034A"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NOV</w:t>
            </w:r>
          </w:p>
        </w:tc>
        <w:tc>
          <w:tcPr>
            <w:tcW w:w="708" w:type="dxa"/>
            <w:shd w:val="solid" w:color="auto" w:fill="auto"/>
            <w:vAlign w:val="center"/>
          </w:tcPr>
          <w:p w14:paraId="062A1B48" w14:textId="77777777" w:rsidR="0022645E" w:rsidRPr="000214A8" w:rsidRDefault="0022645E" w:rsidP="000075AB">
            <w:pPr>
              <w:jc w:val="center"/>
              <w:rPr>
                <w:rFonts w:ascii="Arial" w:hAnsi="Arial" w:cs="Arial"/>
                <w:b/>
                <w:bCs/>
                <w:color w:val="FFFFFF" w:themeColor="background1"/>
                <w:sz w:val="20"/>
                <w:szCs w:val="20"/>
              </w:rPr>
            </w:pPr>
            <w:r>
              <w:rPr>
                <w:rFonts w:ascii="Arial" w:hAnsi="Arial" w:cs="Arial"/>
                <w:b/>
                <w:bCs/>
                <w:color w:val="FFFFFF" w:themeColor="background1"/>
                <w:sz w:val="20"/>
                <w:szCs w:val="20"/>
              </w:rPr>
              <w:t>DEC</w:t>
            </w:r>
          </w:p>
        </w:tc>
      </w:tr>
      <w:tr w:rsidR="00592892" w:rsidRPr="000214A8" w14:paraId="557C2793" w14:textId="77777777" w:rsidTr="00D758CE">
        <w:trPr>
          <w:trHeight w:val="360"/>
          <w:jc w:val="center"/>
        </w:trPr>
        <w:tc>
          <w:tcPr>
            <w:tcW w:w="829" w:type="dxa"/>
            <w:vMerge w:val="restart"/>
            <w:textDirection w:val="btLr"/>
            <w:vAlign w:val="center"/>
          </w:tcPr>
          <w:p w14:paraId="02592798" w14:textId="608D3DDE" w:rsidR="00592892" w:rsidRPr="00D90703" w:rsidRDefault="00592892" w:rsidP="00A163CC">
            <w:pPr>
              <w:ind w:left="113" w:right="113"/>
              <w:jc w:val="center"/>
              <w:rPr>
                <w:rFonts w:ascii="Arial" w:hAnsi="Arial" w:cs="Arial"/>
                <w:b/>
                <w:bCs/>
                <w:color w:val="000000" w:themeColor="text1"/>
                <w:sz w:val="18"/>
                <w:szCs w:val="18"/>
              </w:rPr>
            </w:pPr>
            <w:r w:rsidRPr="00D90703">
              <w:rPr>
                <w:rFonts w:ascii="Arial" w:hAnsi="Arial" w:cs="Arial"/>
                <w:b/>
                <w:bCs/>
                <w:color w:val="000000" w:themeColor="text1"/>
                <w:sz w:val="18"/>
                <w:szCs w:val="18"/>
              </w:rPr>
              <w:t>OBJ A</w:t>
            </w:r>
            <w:r w:rsidRPr="00D90703">
              <w:rPr>
                <w:rFonts w:ascii="Arial" w:hAnsi="Arial" w:cs="Arial"/>
                <w:b/>
                <w:bCs/>
                <w:color w:val="000000" w:themeColor="text1"/>
                <w:sz w:val="18"/>
                <w:szCs w:val="18"/>
              </w:rPr>
              <w:br/>
              <w:t>$</w:t>
            </w:r>
            <w:r>
              <w:rPr>
                <w:rFonts w:ascii="Arial" w:hAnsi="Arial" w:cs="Arial"/>
                <w:b/>
                <w:bCs/>
                <w:color w:val="000000" w:themeColor="text1"/>
                <w:sz w:val="18"/>
                <w:szCs w:val="18"/>
              </w:rPr>
              <w:t>9,100</w:t>
            </w:r>
          </w:p>
        </w:tc>
        <w:tc>
          <w:tcPr>
            <w:tcW w:w="705" w:type="dxa"/>
            <w:vAlign w:val="center"/>
          </w:tcPr>
          <w:p w14:paraId="3150AF23" w14:textId="77777777" w:rsidR="00592892" w:rsidRPr="000214A8" w:rsidRDefault="00592892" w:rsidP="0022645E">
            <w:pPr>
              <w:jc w:val="center"/>
              <w:rPr>
                <w:rFonts w:ascii="Arial" w:hAnsi="Arial" w:cs="Arial"/>
                <w:color w:val="000000" w:themeColor="text1"/>
                <w:sz w:val="18"/>
                <w:szCs w:val="18"/>
              </w:rPr>
            </w:pPr>
          </w:p>
        </w:tc>
        <w:tc>
          <w:tcPr>
            <w:tcW w:w="706" w:type="dxa"/>
            <w:vAlign w:val="center"/>
          </w:tcPr>
          <w:p w14:paraId="7F5B9F0A" w14:textId="77777777" w:rsidR="00592892" w:rsidRPr="000214A8" w:rsidRDefault="00592892" w:rsidP="0022645E">
            <w:pPr>
              <w:jc w:val="center"/>
              <w:rPr>
                <w:rFonts w:ascii="Arial" w:hAnsi="Arial" w:cs="Arial"/>
                <w:color w:val="000000" w:themeColor="text1"/>
                <w:sz w:val="18"/>
                <w:szCs w:val="18"/>
              </w:rPr>
            </w:pPr>
          </w:p>
        </w:tc>
        <w:tc>
          <w:tcPr>
            <w:tcW w:w="711" w:type="dxa"/>
            <w:vAlign w:val="center"/>
          </w:tcPr>
          <w:p w14:paraId="78F144DB" w14:textId="77777777" w:rsidR="00592892" w:rsidRPr="000214A8" w:rsidRDefault="00592892" w:rsidP="0022645E">
            <w:pPr>
              <w:jc w:val="center"/>
              <w:rPr>
                <w:rFonts w:ascii="Arial" w:hAnsi="Arial" w:cs="Arial"/>
                <w:color w:val="000000" w:themeColor="text1"/>
                <w:sz w:val="18"/>
                <w:szCs w:val="18"/>
              </w:rPr>
            </w:pPr>
          </w:p>
        </w:tc>
        <w:tc>
          <w:tcPr>
            <w:tcW w:w="2821" w:type="dxa"/>
            <w:gridSpan w:val="4"/>
            <w:vAlign w:val="center"/>
          </w:tcPr>
          <w:p w14:paraId="16B6EFC4" w14:textId="77777777" w:rsidR="00592892" w:rsidRPr="000214A8" w:rsidRDefault="00592892" w:rsidP="0022645E">
            <w:pPr>
              <w:jc w:val="center"/>
              <w:rPr>
                <w:rFonts w:ascii="Arial" w:hAnsi="Arial" w:cs="Arial"/>
                <w:color w:val="000000" w:themeColor="text1"/>
                <w:sz w:val="18"/>
                <w:szCs w:val="18"/>
              </w:rPr>
            </w:pPr>
            <w:r>
              <w:rPr>
                <w:rFonts w:ascii="Arial" w:hAnsi="Arial" w:cs="Arial"/>
                <w:color w:val="000000" w:themeColor="text1"/>
                <w:sz w:val="18"/>
                <w:szCs w:val="18"/>
              </w:rPr>
              <w:t>Establish IAREC plots</w:t>
            </w:r>
          </w:p>
        </w:tc>
        <w:tc>
          <w:tcPr>
            <w:tcW w:w="712" w:type="dxa"/>
            <w:vAlign w:val="center"/>
          </w:tcPr>
          <w:p w14:paraId="0318E2E9" w14:textId="77777777" w:rsidR="00592892" w:rsidRPr="000214A8" w:rsidRDefault="00592892" w:rsidP="0022645E">
            <w:pPr>
              <w:jc w:val="center"/>
              <w:rPr>
                <w:rFonts w:ascii="Arial" w:hAnsi="Arial" w:cs="Arial"/>
                <w:color w:val="000000" w:themeColor="text1"/>
                <w:sz w:val="18"/>
                <w:szCs w:val="18"/>
              </w:rPr>
            </w:pPr>
          </w:p>
        </w:tc>
        <w:tc>
          <w:tcPr>
            <w:tcW w:w="2122" w:type="dxa"/>
            <w:gridSpan w:val="3"/>
            <w:vAlign w:val="center"/>
          </w:tcPr>
          <w:p w14:paraId="6CC5BAAA" w14:textId="77777777" w:rsidR="00592892" w:rsidRPr="000214A8" w:rsidRDefault="00592892" w:rsidP="0022645E">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708" w:type="dxa"/>
            <w:vAlign w:val="center"/>
          </w:tcPr>
          <w:p w14:paraId="78970A89" w14:textId="77777777" w:rsidR="00592892" w:rsidRPr="000214A8" w:rsidRDefault="00592892" w:rsidP="0022645E">
            <w:pPr>
              <w:jc w:val="center"/>
              <w:rPr>
                <w:rFonts w:ascii="Arial" w:hAnsi="Arial" w:cs="Arial"/>
                <w:color w:val="000000" w:themeColor="text1"/>
                <w:sz w:val="18"/>
                <w:szCs w:val="18"/>
              </w:rPr>
            </w:pPr>
          </w:p>
        </w:tc>
      </w:tr>
      <w:tr w:rsidR="00592892" w:rsidRPr="000214A8" w14:paraId="728F3569" w14:textId="77777777" w:rsidTr="00D758CE">
        <w:trPr>
          <w:trHeight w:val="360"/>
          <w:jc w:val="center"/>
        </w:trPr>
        <w:tc>
          <w:tcPr>
            <w:tcW w:w="829" w:type="dxa"/>
            <w:vMerge/>
          </w:tcPr>
          <w:p w14:paraId="17070B58" w14:textId="77777777" w:rsidR="00592892" w:rsidRPr="00D90703" w:rsidRDefault="00592892" w:rsidP="00A163CC">
            <w:pPr>
              <w:rPr>
                <w:rFonts w:ascii="Arial" w:hAnsi="Arial" w:cs="Arial"/>
                <w:color w:val="000000" w:themeColor="text1"/>
                <w:sz w:val="18"/>
                <w:szCs w:val="18"/>
              </w:rPr>
            </w:pPr>
          </w:p>
        </w:tc>
        <w:tc>
          <w:tcPr>
            <w:tcW w:w="2828" w:type="dxa"/>
            <w:gridSpan w:val="4"/>
            <w:vAlign w:val="center"/>
          </w:tcPr>
          <w:p w14:paraId="6A3826E3" w14:textId="4B95B4D7" w:rsidR="00592892" w:rsidRPr="000214A8" w:rsidRDefault="00592892" w:rsidP="0022645E">
            <w:pPr>
              <w:jc w:val="center"/>
              <w:rPr>
                <w:rFonts w:ascii="Arial" w:hAnsi="Arial" w:cs="Arial"/>
                <w:color w:val="000000" w:themeColor="text1"/>
                <w:sz w:val="18"/>
                <w:szCs w:val="18"/>
              </w:rPr>
            </w:pPr>
            <w:r>
              <w:rPr>
                <w:rFonts w:ascii="Arial" w:hAnsi="Arial" w:cs="Arial"/>
                <w:color w:val="000000" w:themeColor="text1"/>
                <w:sz w:val="18"/>
                <w:szCs w:val="18"/>
              </w:rPr>
              <w:t>Receive compounds and protocols from registrants</w:t>
            </w:r>
          </w:p>
        </w:tc>
        <w:tc>
          <w:tcPr>
            <w:tcW w:w="4240" w:type="dxa"/>
            <w:gridSpan w:val="6"/>
            <w:vAlign w:val="center"/>
          </w:tcPr>
          <w:p w14:paraId="0738AF88" w14:textId="77777777" w:rsidR="00592892" w:rsidRPr="000214A8" w:rsidRDefault="00592892" w:rsidP="0022645E">
            <w:pPr>
              <w:jc w:val="center"/>
              <w:rPr>
                <w:rFonts w:ascii="Arial" w:hAnsi="Arial" w:cs="Arial"/>
                <w:color w:val="000000" w:themeColor="text1"/>
                <w:sz w:val="18"/>
                <w:szCs w:val="18"/>
              </w:rPr>
            </w:pPr>
            <w:r>
              <w:rPr>
                <w:rFonts w:ascii="Arial" w:hAnsi="Arial" w:cs="Arial"/>
                <w:color w:val="000000" w:themeColor="text1"/>
                <w:sz w:val="18"/>
                <w:szCs w:val="18"/>
              </w:rPr>
              <w:t>Make applications per protocols or labels</w:t>
            </w:r>
          </w:p>
        </w:tc>
        <w:tc>
          <w:tcPr>
            <w:tcW w:w="1417" w:type="dxa"/>
            <w:gridSpan w:val="2"/>
            <w:vAlign w:val="center"/>
          </w:tcPr>
          <w:p w14:paraId="24B29873" w14:textId="77777777" w:rsidR="00592892" w:rsidRDefault="00592892" w:rsidP="0022645E">
            <w:pPr>
              <w:jc w:val="center"/>
              <w:rPr>
                <w:rFonts w:ascii="Arial" w:hAnsi="Arial" w:cs="Arial"/>
                <w:color w:val="000000" w:themeColor="text1"/>
                <w:sz w:val="18"/>
                <w:szCs w:val="18"/>
              </w:rPr>
            </w:pPr>
          </w:p>
        </w:tc>
      </w:tr>
      <w:tr w:rsidR="0022645E" w:rsidRPr="000214A8" w14:paraId="509F2088" w14:textId="77777777" w:rsidTr="00D758CE">
        <w:trPr>
          <w:trHeight w:val="548"/>
          <w:jc w:val="center"/>
        </w:trPr>
        <w:tc>
          <w:tcPr>
            <w:tcW w:w="829" w:type="dxa"/>
            <w:vMerge/>
          </w:tcPr>
          <w:p w14:paraId="7B0101D7" w14:textId="77777777" w:rsidR="0022645E" w:rsidRPr="00D90703" w:rsidRDefault="0022645E" w:rsidP="00A163CC">
            <w:pPr>
              <w:rPr>
                <w:rFonts w:ascii="Arial" w:hAnsi="Arial" w:cs="Arial"/>
                <w:color w:val="000000" w:themeColor="text1"/>
                <w:sz w:val="18"/>
                <w:szCs w:val="18"/>
              </w:rPr>
            </w:pPr>
          </w:p>
        </w:tc>
        <w:tc>
          <w:tcPr>
            <w:tcW w:w="705" w:type="dxa"/>
            <w:vAlign w:val="center"/>
          </w:tcPr>
          <w:p w14:paraId="70B08951" w14:textId="77777777" w:rsidR="0022645E" w:rsidRPr="000214A8" w:rsidRDefault="0022645E" w:rsidP="0022645E">
            <w:pPr>
              <w:jc w:val="center"/>
              <w:rPr>
                <w:rFonts w:ascii="Arial" w:hAnsi="Arial" w:cs="Arial"/>
                <w:color w:val="000000" w:themeColor="text1"/>
                <w:sz w:val="18"/>
                <w:szCs w:val="18"/>
              </w:rPr>
            </w:pPr>
          </w:p>
        </w:tc>
        <w:tc>
          <w:tcPr>
            <w:tcW w:w="706" w:type="dxa"/>
            <w:vAlign w:val="center"/>
          </w:tcPr>
          <w:p w14:paraId="3F90DE23" w14:textId="77777777" w:rsidR="0022645E" w:rsidRPr="000214A8" w:rsidRDefault="0022645E" w:rsidP="0022645E">
            <w:pPr>
              <w:jc w:val="center"/>
              <w:rPr>
                <w:rFonts w:ascii="Arial" w:hAnsi="Arial" w:cs="Arial"/>
                <w:color w:val="000000" w:themeColor="text1"/>
                <w:sz w:val="18"/>
                <w:szCs w:val="18"/>
              </w:rPr>
            </w:pPr>
          </w:p>
        </w:tc>
        <w:tc>
          <w:tcPr>
            <w:tcW w:w="711" w:type="dxa"/>
            <w:vAlign w:val="center"/>
          </w:tcPr>
          <w:p w14:paraId="33A6CC57" w14:textId="77777777" w:rsidR="0022645E" w:rsidRPr="000214A8" w:rsidRDefault="0022645E" w:rsidP="0022645E">
            <w:pPr>
              <w:jc w:val="center"/>
              <w:rPr>
                <w:rFonts w:ascii="Arial" w:hAnsi="Arial" w:cs="Arial"/>
                <w:color w:val="000000" w:themeColor="text1"/>
                <w:sz w:val="18"/>
                <w:szCs w:val="18"/>
              </w:rPr>
            </w:pPr>
          </w:p>
        </w:tc>
        <w:tc>
          <w:tcPr>
            <w:tcW w:w="706" w:type="dxa"/>
            <w:vAlign w:val="center"/>
          </w:tcPr>
          <w:p w14:paraId="20FA0777" w14:textId="77777777" w:rsidR="0022645E" w:rsidRPr="000214A8" w:rsidRDefault="0022645E" w:rsidP="0022645E">
            <w:pPr>
              <w:jc w:val="center"/>
              <w:rPr>
                <w:rFonts w:ascii="Arial" w:hAnsi="Arial" w:cs="Arial"/>
                <w:color w:val="000000" w:themeColor="text1"/>
                <w:sz w:val="18"/>
                <w:szCs w:val="18"/>
              </w:rPr>
            </w:pPr>
          </w:p>
        </w:tc>
        <w:tc>
          <w:tcPr>
            <w:tcW w:w="710" w:type="dxa"/>
            <w:vAlign w:val="center"/>
          </w:tcPr>
          <w:p w14:paraId="32FD1C40" w14:textId="77777777" w:rsidR="0022645E" w:rsidRPr="000214A8" w:rsidRDefault="0022645E" w:rsidP="0022645E">
            <w:pPr>
              <w:jc w:val="center"/>
              <w:rPr>
                <w:rFonts w:ascii="Arial" w:hAnsi="Arial" w:cs="Arial"/>
                <w:color w:val="000000" w:themeColor="text1"/>
                <w:sz w:val="18"/>
                <w:szCs w:val="18"/>
              </w:rPr>
            </w:pPr>
          </w:p>
        </w:tc>
        <w:tc>
          <w:tcPr>
            <w:tcW w:w="2823" w:type="dxa"/>
            <w:gridSpan w:val="4"/>
            <w:vAlign w:val="center"/>
          </w:tcPr>
          <w:p w14:paraId="333189AF"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Collect leaves, quantify aphids and other arthropods</w:t>
            </w:r>
          </w:p>
        </w:tc>
        <w:tc>
          <w:tcPr>
            <w:tcW w:w="707" w:type="dxa"/>
            <w:vAlign w:val="center"/>
          </w:tcPr>
          <w:p w14:paraId="0E7BCE87" w14:textId="77777777" w:rsidR="0022645E" w:rsidRPr="000214A8" w:rsidRDefault="0022645E" w:rsidP="0022645E">
            <w:pPr>
              <w:jc w:val="center"/>
              <w:rPr>
                <w:rFonts w:ascii="Arial" w:hAnsi="Arial" w:cs="Arial"/>
                <w:color w:val="000000" w:themeColor="text1"/>
                <w:sz w:val="18"/>
                <w:szCs w:val="18"/>
              </w:rPr>
            </w:pPr>
          </w:p>
        </w:tc>
        <w:tc>
          <w:tcPr>
            <w:tcW w:w="1417" w:type="dxa"/>
            <w:gridSpan w:val="2"/>
            <w:vAlign w:val="center"/>
          </w:tcPr>
          <w:p w14:paraId="3EAEBD40"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r w:rsidR="0022645E" w:rsidRPr="000214A8" w14:paraId="6642A77C" w14:textId="77777777" w:rsidTr="00D758CE">
        <w:trPr>
          <w:trHeight w:val="360"/>
          <w:jc w:val="center"/>
        </w:trPr>
        <w:tc>
          <w:tcPr>
            <w:tcW w:w="829" w:type="dxa"/>
            <w:vMerge w:val="restart"/>
            <w:tcBorders>
              <w:top w:val="single" w:sz="18" w:space="0" w:color="auto"/>
              <w:bottom w:val="single" w:sz="4" w:space="0" w:color="auto"/>
            </w:tcBorders>
            <w:textDirection w:val="btLr"/>
            <w:vAlign w:val="center"/>
          </w:tcPr>
          <w:p w14:paraId="03AFEAE9" w14:textId="77777777" w:rsidR="0022645E" w:rsidRPr="00D90703" w:rsidRDefault="0022645E" w:rsidP="00A163CC">
            <w:pPr>
              <w:jc w:val="center"/>
              <w:rPr>
                <w:rFonts w:ascii="Arial" w:hAnsi="Arial" w:cs="Arial"/>
                <w:color w:val="000000" w:themeColor="text1"/>
                <w:sz w:val="18"/>
                <w:szCs w:val="18"/>
              </w:rPr>
            </w:pPr>
            <w:r w:rsidRPr="00D90703">
              <w:rPr>
                <w:rFonts w:ascii="Arial" w:hAnsi="Arial" w:cs="Arial"/>
                <w:b/>
                <w:bCs/>
                <w:color w:val="000000" w:themeColor="text1"/>
                <w:sz w:val="18"/>
                <w:szCs w:val="18"/>
              </w:rPr>
              <w:t>OBJ B</w:t>
            </w:r>
            <w:r w:rsidRPr="00D90703">
              <w:rPr>
                <w:rFonts w:ascii="Arial" w:hAnsi="Arial" w:cs="Arial"/>
                <w:b/>
                <w:bCs/>
                <w:color w:val="000000" w:themeColor="text1"/>
                <w:sz w:val="18"/>
                <w:szCs w:val="18"/>
              </w:rPr>
              <w:br/>
              <w:t>$0</w:t>
            </w:r>
          </w:p>
        </w:tc>
        <w:tc>
          <w:tcPr>
            <w:tcW w:w="8485" w:type="dxa"/>
            <w:gridSpan w:val="12"/>
            <w:tcBorders>
              <w:top w:val="single" w:sz="18" w:space="0" w:color="auto"/>
              <w:bottom w:val="single" w:sz="4" w:space="0" w:color="auto"/>
            </w:tcBorders>
            <w:vAlign w:val="center"/>
          </w:tcPr>
          <w:p w14:paraId="0ED39688"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Maintain two-way communication with industry to identify any emerging pest issues</w:t>
            </w:r>
          </w:p>
        </w:tc>
      </w:tr>
      <w:tr w:rsidR="0022645E" w:rsidRPr="000214A8" w14:paraId="5E5F6ACB" w14:textId="77777777" w:rsidTr="00D758CE">
        <w:trPr>
          <w:trHeight w:val="360"/>
          <w:jc w:val="center"/>
        </w:trPr>
        <w:tc>
          <w:tcPr>
            <w:tcW w:w="829" w:type="dxa"/>
            <w:vMerge/>
            <w:tcBorders>
              <w:top w:val="single" w:sz="4" w:space="0" w:color="auto"/>
              <w:bottom w:val="single" w:sz="4" w:space="0" w:color="auto"/>
            </w:tcBorders>
          </w:tcPr>
          <w:p w14:paraId="26203636" w14:textId="77777777" w:rsidR="0022645E" w:rsidRPr="00D90703" w:rsidRDefault="0022645E" w:rsidP="00A163CC">
            <w:pPr>
              <w:rPr>
                <w:rFonts w:ascii="Arial" w:hAnsi="Arial" w:cs="Arial"/>
                <w:color w:val="000000" w:themeColor="text1"/>
                <w:sz w:val="18"/>
                <w:szCs w:val="18"/>
              </w:rPr>
            </w:pPr>
          </w:p>
        </w:tc>
        <w:tc>
          <w:tcPr>
            <w:tcW w:w="705" w:type="dxa"/>
            <w:tcBorders>
              <w:top w:val="single" w:sz="4" w:space="0" w:color="auto"/>
              <w:bottom w:val="single" w:sz="4" w:space="0" w:color="auto"/>
            </w:tcBorders>
            <w:vAlign w:val="center"/>
          </w:tcPr>
          <w:p w14:paraId="3CCC7A41"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0B7AD1C7" w14:textId="77777777" w:rsidR="0022645E" w:rsidRPr="000214A8" w:rsidRDefault="0022645E" w:rsidP="0022645E">
            <w:pPr>
              <w:jc w:val="center"/>
              <w:rPr>
                <w:rFonts w:ascii="Arial" w:hAnsi="Arial" w:cs="Arial"/>
                <w:color w:val="000000" w:themeColor="text1"/>
                <w:sz w:val="18"/>
                <w:szCs w:val="18"/>
              </w:rPr>
            </w:pPr>
          </w:p>
        </w:tc>
        <w:tc>
          <w:tcPr>
            <w:tcW w:w="6366" w:type="dxa"/>
            <w:gridSpan w:val="9"/>
            <w:tcBorders>
              <w:top w:val="single" w:sz="4" w:space="0" w:color="auto"/>
              <w:bottom w:val="single" w:sz="4" w:space="0" w:color="auto"/>
            </w:tcBorders>
            <w:vAlign w:val="center"/>
          </w:tcPr>
          <w:p w14:paraId="01CE81AF"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Develop &amp; implement monitoring and/or management strategies if indicated</w:t>
            </w:r>
          </w:p>
        </w:tc>
        <w:tc>
          <w:tcPr>
            <w:tcW w:w="708" w:type="dxa"/>
            <w:tcBorders>
              <w:top w:val="single" w:sz="4" w:space="0" w:color="auto"/>
              <w:bottom w:val="single" w:sz="4" w:space="0" w:color="auto"/>
            </w:tcBorders>
            <w:vAlign w:val="center"/>
          </w:tcPr>
          <w:p w14:paraId="6A51C780" w14:textId="77777777" w:rsidR="0022645E" w:rsidRPr="000214A8" w:rsidRDefault="0022645E" w:rsidP="0022645E">
            <w:pPr>
              <w:jc w:val="center"/>
              <w:rPr>
                <w:rFonts w:ascii="Arial" w:hAnsi="Arial" w:cs="Arial"/>
                <w:color w:val="000000" w:themeColor="text1"/>
                <w:sz w:val="18"/>
                <w:szCs w:val="18"/>
              </w:rPr>
            </w:pPr>
          </w:p>
        </w:tc>
      </w:tr>
      <w:tr w:rsidR="0022645E" w:rsidRPr="000214A8" w14:paraId="18E582F7" w14:textId="77777777" w:rsidTr="00D758CE">
        <w:trPr>
          <w:trHeight w:val="360"/>
          <w:jc w:val="center"/>
        </w:trPr>
        <w:tc>
          <w:tcPr>
            <w:tcW w:w="829" w:type="dxa"/>
            <w:vMerge/>
            <w:tcBorders>
              <w:top w:val="single" w:sz="4" w:space="0" w:color="auto"/>
              <w:bottom w:val="single" w:sz="4" w:space="0" w:color="auto"/>
            </w:tcBorders>
          </w:tcPr>
          <w:p w14:paraId="0D90D0CE" w14:textId="77777777" w:rsidR="0022645E" w:rsidRPr="00D90703" w:rsidRDefault="0022645E" w:rsidP="00A163CC">
            <w:pPr>
              <w:rPr>
                <w:rFonts w:ascii="Arial" w:hAnsi="Arial" w:cs="Arial"/>
                <w:color w:val="000000" w:themeColor="text1"/>
                <w:sz w:val="18"/>
                <w:szCs w:val="18"/>
              </w:rPr>
            </w:pPr>
          </w:p>
        </w:tc>
        <w:tc>
          <w:tcPr>
            <w:tcW w:w="705" w:type="dxa"/>
            <w:tcBorders>
              <w:top w:val="single" w:sz="4" w:space="0" w:color="auto"/>
              <w:bottom w:val="single" w:sz="4" w:space="0" w:color="auto"/>
            </w:tcBorders>
            <w:vAlign w:val="center"/>
          </w:tcPr>
          <w:p w14:paraId="07A72743"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3299E033" w14:textId="77777777" w:rsidR="0022645E" w:rsidRPr="000214A8" w:rsidRDefault="0022645E" w:rsidP="0022645E">
            <w:pPr>
              <w:jc w:val="center"/>
              <w:rPr>
                <w:rFonts w:ascii="Arial" w:hAnsi="Arial" w:cs="Arial"/>
                <w:color w:val="000000" w:themeColor="text1"/>
                <w:sz w:val="18"/>
                <w:szCs w:val="18"/>
              </w:rPr>
            </w:pPr>
          </w:p>
        </w:tc>
        <w:tc>
          <w:tcPr>
            <w:tcW w:w="711" w:type="dxa"/>
            <w:tcBorders>
              <w:top w:val="single" w:sz="4" w:space="0" w:color="auto"/>
              <w:bottom w:val="single" w:sz="4" w:space="0" w:color="auto"/>
            </w:tcBorders>
            <w:vAlign w:val="center"/>
          </w:tcPr>
          <w:p w14:paraId="543ADA78"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70DC148B" w14:textId="77777777" w:rsidR="0022645E" w:rsidRPr="000214A8" w:rsidRDefault="0022645E" w:rsidP="0022645E">
            <w:pPr>
              <w:jc w:val="center"/>
              <w:rPr>
                <w:rFonts w:ascii="Arial" w:hAnsi="Arial" w:cs="Arial"/>
                <w:color w:val="000000" w:themeColor="text1"/>
                <w:sz w:val="18"/>
                <w:szCs w:val="18"/>
              </w:rPr>
            </w:pPr>
          </w:p>
        </w:tc>
        <w:tc>
          <w:tcPr>
            <w:tcW w:w="710" w:type="dxa"/>
            <w:tcBorders>
              <w:top w:val="single" w:sz="4" w:space="0" w:color="auto"/>
              <w:bottom w:val="single" w:sz="4" w:space="0" w:color="auto"/>
            </w:tcBorders>
            <w:vAlign w:val="center"/>
          </w:tcPr>
          <w:p w14:paraId="460D085D"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7D06B8F7" w14:textId="77777777" w:rsidR="0022645E" w:rsidRPr="000214A8" w:rsidRDefault="0022645E" w:rsidP="0022645E">
            <w:pPr>
              <w:jc w:val="center"/>
              <w:rPr>
                <w:rFonts w:ascii="Arial" w:hAnsi="Arial" w:cs="Arial"/>
                <w:color w:val="000000" w:themeColor="text1"/>
                <w:sz w:val="18"/>
                <w:szCs w:val="18"/>
              </w:rPr>
            </w:pPr>
          </w:p>
        </w:tc>
        <w:tc>
          <w:tcPr>
            <w:tcW w:w="699" w:type="dxa"/>
            <w:tcBorders>
              <w:top w:val="single" w:sz="4" w:space="0" w:color="auto"/>
              <w:bottom w:val="single" w:sz="4" w:space="0" w:color="auto"/>
            </w:tcBorders>
            <w:vAlign w:val="center"/>
          </w:tcPr>
          <w:p w14:paraId="05F2CC20" w14:textId="77777777" w:rsidR="0022645E" w:rsidRPr="000214A8" w:rsidRDefault="0022645E" w:rsidP="0022645E">
            <w:pPr>
              <w:jc w:val="center"/>
              <w:rPr>
                <w:rFonts w:ascii="Arial" w:hAnsi="Arial" w:cs="Arial"/>
                <w:color w:val="000000" w:themeColor="text1"/>
                <w:sz w:val="18"/>
                <w:szCs w:val="18"/>
              </w:rPr>
            </w:pPr>
          </w:p>
        </w:tc>
        <w:tc>
          <w:tcPr>
            <w:tcW w:w="712" w:type="dxa"/>
            <w:tcBorders>
              <w:top w:val="single" w:sz="4" w:space="0" w:color="auto"/>
              <w:bottom w:val="single" w:sz="4" w:space="0" w:color="auto"/>
            </w:tcBorders>
            <w:vAlign w:val="center"/>
          </w:tcPr>
          <w:p w14:paraId="4E8DACC9" w14:textId="77777777" w:rsidR="0022645E" w:rsidRPr="000214A8" w:rsidRDefault="0022645E" w:rsidP="0022645E">
            <w:pPr>
              <w:jc w:val="center"/>
              <w:rPr>
                <w:rFonts w:ascii="Arial" w:hAnsi="Arial" w:cs="Arial"/>
                <w:color w:val="000000" w:themeColor="text1"/>
                <w:sz w:val="18"/>
                <w:szCs w:val="18"/>
              </w:rPr>
            </w:pPr>
          </w:p>
        </w:tc>
        <w:tc>
          <w:tcPr>
            <w:tcW w:w="2122" w:type="dxa"/>
            <w:gridSpan w:val="3"/>
            <w:tcBorders>
              <w:top w:val="single" w:sz="4" w:space="0" w:color="auto"/>
              <w:bottom w:val="single" w:sz="4" w:space="0" w:color="auto"/>
            </w:tcBorders>
            <w:vAlign w:val="center"/>
          </w:tcPr>
          <w:p w14:paraId="2C2A6799"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708" w:type="dxa"/>
            <w:tcBorders>
              <w:top w:val="single" w:sz="4" w:space="0" w:color="auto"/>
              <w:bottom w:val="single" w:sz="4" w:space="0" w:color="auto"/>
            </w:tcBorders>
            <w:vAlign w:val="center"/>
          </w:tcPr>
          <w:p w14:paraId="71D5247B" w14:textId="77777777" w:rsidR="0022645E" w:rsidRPr="000214A8" w:rsidRDefault="0022645E" w:rsidP="0022645E">
            <w:pPr>
              <w:jc w:val="center"/>
              <w:rPr>
                <w:rFonts w:ascii="Arial" w:hAnsi="Arial" w:cs="Arial"/>
                <w:color w:val="000000" w:themeColor="text1"/>
                <w:sz w:val="18"/>
                <w:szCs w:val="18"/>
              </w:rPr>
            </w:pPr>
          </w:p>
        </w:tc>
      </w:tr>
      <w:tr w:rsidR="0022645E" w:rsidRPr="000214A8" w14:paraId="491E6B9A" w14:textId="77777777" w:rsidTr="00D758CE">
        <w:trPr>
          <w:trHeight w:val="360"/>
          <w:jc w:val="center"/>
        </w:trPr>
        <w:tc>
          <w:tcPr>
            <w:tcW w:w="829" w:type="dxa"/>
            <w:vMerge/>
            <w:tcBorders>
              <w:top w:val="single" w:sz="4" w:space="0" w:color="auto"/>
              <w:bottom w:val="single" w:sz="18" w:space="0" w:color="auto"/>
            </w:tcBorders>
          </w:tcPr>
          <w:p w14:paraId="37DDF002" w14:textId="77777777" w:rsidR="0022645E" w:rsidRPr="00D90703" w:rsidRDefault="0022645E" w:rsidP="00A163CC">
            <w:pPr>
              <w:rPr>
                <w:rFonts w:ascii="Arial" w:hAnsi="Arial" w:cs="Arial"/>
                <w:color w:val="000000" w:themeColor="text1"/>
                <w:sz w:val="18"/>
                <w:szCs w:val="18"/>
              </w:rPr>
            </w:pPr>
          </w:p>
        </w:tc>
        <w:tc>
          <w:tcPr>
            <w:tcW w:w="705" w:type="dxa"/>
            <w:tcBorders>
              <w:top w:val="single" w:sz="4" w:space="0" w:color="auto"/>
              <w:bottom w:val="single" w:sz="18" w:space="0" w:color="auto"/>
            </w:tcBorders>
            <w:vAlign w:val="center"/>
          </w:tcPr>
          <w:p w14:paraId="584D51FE"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294F723D" w14:textId="77777777" w:rsidR="0022645E" w:rsidRPr="000214A8" w:rsidRDefault="0022645E" w:rsidP="0022645E">
            <w:pPr>
              <w:jc w:val="center"/>
              <w:rPr>
                <w:rFonts w:ascii="Arial" w:hAnsi="Arial" w:cs="Arial"/>
                <w:color w:val="000000" w:themeColor="text1"/>
                <w:sz w:val="18"/>
                <w:szCs w:val="18"/>
              </w:rPr>
            </w:pPr>
          </w:p>
        </w:tc>
        <w:tc>
          <w:tcPr>
            <w:tcW w:w="711" w:type="dxa"/>
            <w:tcBorders>
              <w:top w:val="single" w:sz="4" w:space="0" w:color="auto"/>
              <w:bottom w:val="single" w:sz="18" w:space="0" w:color="auto"/>
            </w:tcBorders>
            <w:vAlign w:val="center"/>
          </w:tcPr>
          <w:p w14:paraId="67DE5664"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57A51810" w14:textId="77777777" w:rsidR="0022645E" w:rsidRPr="000214A8" w:rsidRDefault="0022645E" w:rsidP="0022645E">
            <w:pPr>
              <w:jc w:val="center"/>
              <w:rPr>
                <w:rFonts w:ascii="Arial" w:hAnsi="Arial" w:cs="Arial"/>
                <w:color w:val="000000" w:themeColor="text1"/>
                <w:sz w:val="18"/>
                <w:szCs w:val="18"/>
              </w:rPr>
            </w:pPr>
          </w:p>
        </w:tc>
        <w:tc>
          <w:tcPr>
            <w:tcW w:w="710" w:type="dxa"/>
            <w:tcBorders>
              <w:top w:val="single" w:sz="4" w:space="0" w:color="auto"/>
              <w:bottom w:val="single" w:sz="18" w:space="0" w:color="auto"/>
            </w:tcBorders>
            <w:vAlign w:val="center"/>
          </w:tcPr>
          <w:p w14:paraId="73990091"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4FB7A3F3" w14:textId="77777777" w:rsidR="0022645E" w:rsidRPr="000214A8" w:rsidRDefault="0022645E" w:rsidP="0022645E">
            <w:pPr>
              <w:jc w:val="center"/>
              <w:rPr>
                <w:rFonts w:ascii="Arial" w:hAnsi="Arial" w:cs="Arial"/>
                <w:color w:val="000000" w:themeColor="text1"/>
                <w:sz w:val="18"/>
                <w:szCs w:val="18"/>
              </w:rPr>
            </w:pPr>
          </w:p>
        </w:tc>
        <w:tc>
          <w:tcPr>
            <w:tcW w:w="699" w:type="dxa"/>
            <w:tcBorders>
              <w:top w:val="single" w:sz="4" w:space="0" w:color="auto"/>
              <w:bottom w:val="single" w:sz="18" w:space="0" w:color="auto"/>
            </w:tcBorders>
            <w:vAlign w:val="center"/>
          </w:tcPr>
          <w:p w14:paraId="5319830F" w14:textId="77777777" w:rsidR="0022645E" w:rsidRPr="000214A8" w:rsidRDefault="0022645E" w:rsidP="0022645E">
            <w:pPr>
              <w:jc w:val="center"/>
              <w:rPr>
                <w:rFonts w:ascii="Arial" w:hAnsi="Arial" w:cs="Arial"/>
                <w:color w:val="000000" w:themeColor="text1"/>
                <w:sz w:val="18"/>
                <w:szCs w:val="18"/>
              </w:rPr>
            </w:pPr>
          </w:p>
        </w:tc>
        <w:tc>
          <w:tcPr>
            <w:tcW w:w="712" w:type="dxa"/>
            <w:tcBorders>
              <w:top w:val="single" w:sz="4" w:space="0" w:color="auto"/>
              <w:bottom w:val="single" w:sz="18" w:space="0" w:color="auto"/>
            </w:tcBorders>
            <w:vAlign w:val="center"/>
          </w:tcPr>
          <w:p w14:paraId="14C5B1DD"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7F4535D6" w14:textId="77777777" w:rsidR="0022645E" w:rsidRPr="000214A8" w:rsidRDefault="0022645E" w:rsidP="0022645E">
            <w:pPr>
              <w:jc w:val="center"/>
              <w:rPr>
                <w:rFonts w:ascii="Arial" w:hAnsi="Arial" w:cs="Arial"/>
                <w:color w:val="000000" w:themeColor="text1"/>
                <w:sz w:val="18"/>
                <w:szCs w:val="18"/>
              </w:rPr>
            </w:pPr>
          </w:p>
        </w:tc>
        <w:tc>
          <w:tcPr>
            <w:tcW w:w="707" w:type="dxa"/>
            <w:tcBorders>
              <w:top w:val="single" w:sz="4" w:space="0" w:color="auto"/>
              <w:bottom w:val="single" w:sz="18" w:space="0" w:color="auto"/>
            </w:tcBorders>
            <w:vAlign w:val="center"/>
          </w:tcPr>
          <w:p w14:paraId="1D2F48AF" w14:textId="77777777" w:rsidR="0022645E" w:rsidRPr="000214A8" w:rsidRDefault="0022645E" w:rsidP="0022645E">
            <w:pPr>
              <w:jc w:val="center"/>
              <w:rPr>
                <w:rFonts w:ascii="Arial" w:hAnsi="Arial" w:cs="Arial"/>
                <w:color w:val="000000" w:themeColor="text1"/>
                <w:sz w:val="18"/>
                <w:szCs w:val="18"/>
              </w:rPr>
            </w:pPr>
          </w:p>
        </w:tc>
        <w:tc>
          <w:tcPr>
            <w:tcW w:w="1417" w:type="dxa"/>
            <w:gridSpan w:val="2"/>
            <w:tcBorders>
              <w:top w:val="single" w:sz="4" w:space="0" w:color="auto"/>
              <w:bottom w:val="single" w:sz="18" w:space="0" w:color="auto"/>
            </w:tcBorders>
            <w:vAlign w:val="center"/>
          </w:tcPr>
          <w:p w14:paraId="3A041174"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r w:rsidR="0022645E" w:rsidRPr="000214A8" w14:paraId="5A10ACEE" w14:textId="77777777" w:rsidTr="00D758CE">
        <w:trPr>
          <w:trHeight w:val="360"/>
          <w:jc w:val="center"/>
        </w:trPr>
        <w:tc>
          <w:tcPr>
            <w:tcW w:w="829" w:type="dxa"/>
            <w:vMerge w:val="restart"/>
            <w:tcBorders>
              <w:top w:val="single" w:sz="18" w:space="0" w:color="auto"/>
              <w:bottom w:val="single" w:sz="4" w:space="0" w:color="auto"/>
            </w:tcBorders>
            <w:textDirection w:val="btLr"/>
            <w:vAlign w:val="center"/>
          </w:tcPr>
          <w:p w14:paraId="2DF24219" w14:textId="258B5F8B" w:rsidR="0022645E" w:rsidRPr="00D90703" w:rsidRDefault="0022645E" w:rsidP="00A163CC">
            <w:pPr>
              <w:jc w:val="center"/>
              <w:rPr>
                <w:rFonts w:ascii="Arial" w:hAnsi="Arial" w:cs="Arial"/>
                <w:color w:val="000000" w:themeColor="text1"/>
                <w:sz w:val="18"/>
                <w:szCs w:val="18"/>
              </w:rPr>
            </w:pPr>
            <w:r w:rsidRPr="00D90703">
              <w:rPr>
                <w:rFonts w:ascii="Arial" w:hAnsi="Arial" w:cs="Arial"/>
                <w:b/>
                <w:bCs/>
                <w:color w:val="000000" w:themeColor="text1"/>
                <w:sz w:val="18"/>
                <w:szCs w:val="18"/>
              </w:rPr>
              <w:t xml:space="preserve">OBJ </w:t>
            </w:r>
            <w:r w:rsidR="00E3724A">
              <w:rPr>
                <w:rFonts w:ascii="Arial" w:hAnsi="Arial" w:cs="Arial"/>
                <w:b/>
                <w:bCs/>
                <w:color w:val="000000" w:themeColor="text1"/>
                <w:sz w:val="18"/>
                <w:szCs w:val="18"/>
              </w:rPr>
              <w:t>C</w:t>
            </w:r>
            <w:r w:rsidRPr="00D90703">
              <w:rPr>
                <w:rFonts w:ascii="Arial" w:hAnsi="Arial" w:cs="Arial"/>
                <w:b/>
                <w:bCs/>
                <w:color w:val="000000" w:themeColor="text1"/>
                <w:sz w:val="18"/>
                <w:szCs w:val="18"/>
              </w:rPr>
              <w:br/>
              <w:t>$</w:t>
            </w:r>
            <w:r w:rsidR="00D90703">
              <w:rPr>
                <w:rFonts w:ascii="Arial" w:hAnsi="Arial" w:cs="Arial"/>
                <w:b/>
                <w:bCs/>
                <w:color w:val="000000" w:themeColor="text1"/>
                <w:sz w:val="18"/>
                <w:szCs w:val="18"/>
              </w:rPr>
              <w:t>5,200</w:t>
            </w:r>
          </w:p>
        </w:tc>
        <w:tc>
          <w:tcPr>
            <w:tcW w:w="705" w:type="dxa"/>
            <w:tcBorders>
              <w:top w:val="single" w:sz="18" w:space="0" w:color="auto"/>
              <w:bottom w:val="single" w:sz="4" w:space="0" w:color="auto"/>
            </w:tcBorders>
            <w:vAlign w:val="center"/>
          </w:tcPr>
          <w:p w14:paraId="41DE7985"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18" w:space="0" w:color="auto"/>
              <w:bottom w:val="single" w:sz="4" w:space="0" w:color="auto"/>
            </w:tcBorders>
            <w:vAlign w:val="center"/>
          </w:tcPr>
          <w:p w14:paraId="0EE8C540" w14:textId="77777777" w:rsidR="0022645E" w:rsidRPr="000214A8" w:rsidRDefault="0022645E" w:rsidP="0022645E">
            <w:pPr>
              <w:jc w:val="center"/>
              <w:rPr>
                <w:rFonts w:ascii="Arial" w:hAnsi="Arial" w:cs="Arial"/>
                <w:color w:val="000000" w:themeColor="text1"/>
                <w:sz w:val="18"/>
                <w:szCs w:val="18"/>
              </w:rPr>
            </w:pPr>
          </w:p>
        </w:tc>
        <w:tc>
          <w:tcPr>
            <w:tcW w:w="4950" w:type="dxa"/>
            <w:gridSpan w:val="7"/>
            <w:tcBorders>
              <w:top w:val="single" w:sz="18" w:space="0" w:color="auto"/>
              <w:bottom w:val="single" w:sz="4" w:space="0" w:color="auto"/>
            </w:tcBorders>
            <w:vAlign w:val="center"/>
          </w:tcPr>
          <w:p w14:paraId="12E3EB3D"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Seek hop yards with large pest caterpillar numbers</w:t>
            </w:r>
          </w:p>
        </w:tc>
        <w:tc>
          <w:tcPr>
            <w:tcW w:w="707" w:type="dxa"/>
            <w:tcBorders>
              <w:top w:val="single" w:sz="18" w:space="0" w:color="auto"/>
              <w:bottom w:val="single" w:sz="4" w:space="0" w:color="auto"/>
            </w:tcBorders>
            <w:vAlign w:val="center"/>
          </w:tcPr>
          <w:p w14:paraId="4CC44579" w14:textId="77777777" w:rsidR="0022645E" w:rsidRPr="000214A8" w:rsidRDefault="0022645E" w:rsidP="0022645E">
            <w:pPr>
              <w:jc w:val="center"/>
              <w:rPr>
                <w:rFonts w:ascii="Arial" w:hAnsi="Arial" w:cs="Arial"/>
                <w:color w:val="000000" w:themeColor="text1"/>
                <w:sz w:val="18"/>
                <w:szCs w:val="18"/>
              </w:rPr>
            </w:pPr>
          </w:p>
        </w:tc>
        <w:tc>
          <w:tcPr>
            <w:tcW w:w="709" w:type="dxa"/>
            <w:tcBorders>
              <w:top w:val="single" w:sz="18" w:space="0" w:color="auto"/>
              <w:bottom w:val="single" w:sz="4" w:space="0" w:color="auto"/>
            </w:tcBorders>
            <w:vAlign w:val="center"/>
          </w:tcPr>
          <w:p w14:paraId="20AA0348" w14:textId="77777777" w:rsidR="0022645E" w:rsidRPr="000214A8" w:rsidRDefault="0022645E" w:rsidP="0022645E">
            <w:pPr>
              <w:jc w:val="center"/>
              <w:rPr>
                <w:rFonts w:ascii="Arial" w:hAnsi="Arial" w:cs="Arial"/>
                <w:color w:val="000000" w:themeColor="text1"/>
                <w:sz w:val="18"/>
                <w:szCs w:val="18"/>
              </w:rPr>
            </w:pPr>
          </w:p>
        </w:tc>
        <w:tc>
          <w:tcPr>
            <w:tcW w:w="708" w:type="dxa"/>
            <w:tcBorders>
              <w:top w:val="single" w:sz="18" w:space="0" w:color="auto"/>
              <w:bottom w:val="single" w:sz="4" w:space="0" w:color="auto"/>
            </w:tcBorders>
            <w:vAlign w:val="center"/>
          </w:tcPr>
          <w:p w14:paraId="354CB035" w14:textId="77777777" w:rsidR="0022645E" w:rsidRPr="000214A8" w:rsidRDefault="0022645E" w:rsidP="0022645E">
            <w:pPr>
              <w:jc w:val="center"/>
              <w:rPr>
                <w:rFonts w:ascii="Arial" w:hAnsi="Arial" w:cs="Arial"/>
                <w:color w:val="000000" w:themeColor="text1"/>
                <w:sz w:val="18"/>
                <w:szCs w:val="18"/>
              </w:rPr>
            </w:pPr>
          </w:p>
        </w:tc>
      </w:tr>
      <w:tr w:rsidR="0022645E" w:rsidRPr="000214A8" w14:paraId="272F06BB" w14:textId="77777777" w:rsidTr="00D758CE">
        <w:trPr>
          <w:trHeight w:val="360"/>
          <w:jc w:val="center"/>
        </w:trPr>
        <w:tc>
          <w:tcPr>
            <w:tcW w:w="829" w:type="dxa"/>
            <w:vMerge/>
            <w:tcBorders>
              <w:top w:val="single" w:sz="4" w:space="0" w:color="auto"/>
              <w:bottom w:val="single" w:sz="4" w:space="0" w:color="auto"/>
            </w:tcBorders>
          </w:tcPr>
          <w:p w14:paraId="4CC711D5" w14:textId="77777777" w:rsidR="0022645E" w:rsidRPr="00D90703" w:rsidRDefault="0022645E" w:rsidP="00A163CC">
            <w:pPr>
              <w:rPr>
                <w:rFonts w:ascii="Arial" w:hAnsi="Arial" w:cs="Arial"/>
                <w:color w:val="000000" w:themeColor="text1"/>
                <w:sz w:val="18"/>
                <w:szCs w:val="18"/>
              </w:rPr>
            </w:pPr>
          </w:p>
        </w:tc>
        <w:tc>
          <w:tcPr>
            <w:tcW w:w="705" w:type="dxa"/>
            <w:tcBorders>
              <w:top w:val="single" w:sz="4" w:space="0" w:color="auto"/>
              <w:bottom w:val="single" w:sz="4" w:space="0" w:color="auto"/>
            </w:tcBorders>
            <w:vAlign w:val="center"/>
          </w:tcPr>
          <w:p w14:paraId="0C03FD63"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101C6CC0" w14:textId="77777777" w:rsidR="0022645E" w:rsidRPr="000214A8" w:rsidRDefault="0022645E" w:rsidP="0022645E">
            <w:pPr>
              <w:jc w:val="center"/>
              <w:rPr>
                <w:rFonts w:ascii="Arial" w:hAnsi="Arial" w:cs="Arial"/>
                <w:color w:val="000000" w:themeColor="text1"/>
                <w:sz w:val="18"/>
                <w:szCs w:val="18"/>
              </w:rPr>
            </w:pPr>
          </w:p>
        </w:tc>
        <w:tc>
          <w:tcPr>
            <w:tcW w:w="711" w:type="dxa"/>
            <w:tcBorders>
              <w:top w:val="single" w:sz="4" w:space="0" w:color="auto"/>
              <w:bottom w:val="single" w:sz="4" w:space="0" w:color="auto"/>
            </w:tcBorders>
            <w:vAlign w:val="center"/>
          </w:tcPr>
          <w:p w14:paraId="2D84B48E" w14:textId="77777777" w:rsidR="0022645E" w:rsidRPr="000214A8" w:rsidRDefault="0022645E" w:rsidP="0022645E">
            <w:pPr>
              <w:jc w:val="center"/>
              <w:rPr>
                <w:rFonts w:ascii="Arial" w:hAnsi="Arial" w:cs="Arial"/>
                <w:color w:val="000000" w:themeColor="text1"/>
                <w:sz w:val="18"/>
                <w:szCs w:val="18"/>
              </w:rPr>
            </w:pPr>
          </w:p>
        </w:tc>
        <w:tc>
          <w:tcPr>
            <w:tcW w:w="4946" w:type="dxa"/>
            <w:gridSpan w:val="7"/>
            <w:tcBorders>
              <w:top w:val="single" w:sz="4" w:space="0" w:color="auto"/>
              <w:bottom w:val="single" w:sz="4" w:space="0" w:color="auto"/>
            </w:tcBorders>
            <w:vAlign w:val="center"/>
          </w:tcPr>
          <w:p w14:paraId="570F64E8" w14:textId="2FB598D8"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Conduct efficacy trials, monitor impacts</w:t>
            </w:r>
          </w:p>
        </w:tc>
        <w:tc>
          <w:tcPr>
            <w:tcW w:w="709" w:type="dxa"/>
            <w:tcBorders>
              <w:top w:val="single" w:sz="4" w:space="0" w:color="auto"/>
              <w:bottom w:val="single" w:sz="4" w:space="0" w:color="auto"/>
            </w:tcBorders>
            <w:vAlign w:val="center"/>
          </w:tcPr>
          <w:p w14:paraId="049EF067" w14:textId="77777777" w:rsidR="0022645E" w:rsidRPr="000214A8" w:rsidRDefault="0022645E" w:rsidP="0022645E">
            <w:pPr>
              <w:jc w:val="center"/>
              <w:rPr>
                <w:rFonts w:ascii="Arial" w:hAnsi="Arial" w:cs="Arial"/>
                <w:color w:val="000000" w:themeColor="text1"/>
                <w:sz w:val="18"/>
                <w:szCs w:val="18"/>
              </w:rPr>
            </w:pPr>
          </w:p>
        </w:tc>
        <w:tc>
          <w:tcPr>
            <w:tcW w:w="708" w:type="dxa"/>
            <w:tcBorders>
              <w:top w:val="single" w:sz="4" w:space="0" w:color="auto"/>
              <w:bottom w:val="single" w:sz="4" w:space="0" w:color="auto"/>
            </w:tcBorders>
            <w:vAlign w:val="center"/>
          </w:tcPr>
          <w:p w14:paraId="607943E8" w14:textId="77777777" w:rsidR="0022645E" w:rsidRPr="000214A8" w:rsidRDefault="0022645E" w:rsidP="0022645E">
            <w:pPr>
              <w:jc w:val="center"/>
              <w:rPr>
                <w:rFonts w:ascii="Arial" w:hAnsi="Arial" w:cs="Arial"/>
                <w:color w:val="000000" w:themeColor="text1"/>
                <w:sz w:val="18"/>
                <w:szCs w:val="18"/>
              </w:rPr>
            </w:pPr>
          </w:p>
        </w:tc>
      </w:tr>
      <w:tr w:rsidR="0022645E" w:rsidRPr="000214A8" w14:paraId="786C1A33" w14:textId="77777777" w:rsidTr="00D758CE">
        <w:trPr>
          <w:trHeight w:val="360"/>
          <w:jc w:val="center"/>
        </w:trPr>
        <w:tc>
          <w:tcPr>
            <w:tcW w:w="829" w:type="dxa"/>
            <w:vMerge/>
            <w:tcBorders>
              <w:top w:val="single" w:sz="4" w:space="0" w:color="auto"/>
              <w:bottom w:val="single" w:sz="4" w:space="0" w:color="auto"/>
            </w:tcBorders>
          </w:tcPr>
          <w:p w14:paraId="5221F98B" w14:textId="77777777" w:rsidR="0022645E" w:rsidRPr="00D90703" w:rsidRDefault="0022645E" w:rsidP="00A163CC">
            <w:pPr>
              <w:rPr>
                <w:rFonts w:ascii="Arial" w:hAnsi="Arial" w:cs="Arial"/>
                <w:color w:val="000000" w:themeColor="text1"/>
                <w:sz w:val="18"/>
                <w:szCs w:val="18"/>
              </w:rPr>
            </w:pPr>
          </w:p>
        </w:tc>
        <w:tc>
          <w:tcPr>
            <w:tcW w:w="705" w:type="dxa"/>
            <w:tcBorders>
              <w:top w:val="single" w:sz="4" w:space="0" w:color="auto"/>
              <w:bottom w:val="single" w:sz="4" w:space="0" w:color="auto"/>
            </w:tcBorders>
            <w:vAlign w:val="center"/>
          </w:tcPr>
          <w:p w14:paraId="7C6F1984"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4D32DCDB" w14:textId="77777777" w:rsidR="0022645E" w:rsidRPr="000214A8" w:rsidRDefault="0022645E" w:rsidP="0022645E">
            <w:pPr>
              <w:jc w:val="center"/>
              <w:rPr>
                <w:rFonts w:ascii="Arial" w:hAnsi="Arial" w:cs="Arial"/>
                <w:color w:val="000000" w:themeColor="text1"/>
                <w:sz w:val="18"/>
                <w:szCs w:val="18"/>
              </w:rPr>
            </w:pPr>
          </w:p>
        </w:tc>
        <w:tc>
          <w:tcPr>
            <w:tcW w:w="711" w:type="dxa"/>
            <w:tcBorders>
              <w:top w:val="single" w:sz="4" w:space="0" w:color="auto"/>
              <w:bottom w:val="single" w:sz="4" w:space="0" w:color="auto"/>
            </w:tcBorders>
            <w:vAlign w:val="center"/>
          </w:tcPr>
          <w:p w14:paraId="334F99CC"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0FCBF197" w14:textId="77777777" w:rsidR="0022645E" w:rsidRPr="000214A8" w:rsidRDefault="0022645E" w:rsidP="0022645E">
            <w:pPr>
              <w:jc w:val="center"/>
              <w:rPr>
                <w:rFonts w:ascii="Arial" w:hAnsi="Arial" w:cs="Arial"/>
                <w:color w:val="000000" w:themeColor="text1"/>
                <w:sz w:val="18"/>
                <w:szCs w:val="18"/>
              </w:rPr>
            </w:pPr>
          </w:p>
        </w:tc>
        <w:tc>
          <w:tcPr>
            <w:tcW w:w="710" w:type="dxa"/>
            <w:tcBorders>
              <w:top w:val="single" w:sz="4" w:space="0" w:color="auto"/>
              <w:bottom w:val="single" w:sz="4" w:space="0" w:color="auto"/>
            </w:tcBorders>
            <w:vAlign w:val="center"/>
          </w:tcPr>
          <w:p w14:paraId="1DFFF677"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7F9EE714" w14:textId="77777777" w:rsidR="0022645E" w:rsidRPr="000214A8" w:rsidRDefault="0022645E" w:rsidP="0022645E">
            <w:pPr>
              <w:jc w:val="center"/>
              <w:rPr>
                <w:rFonts w:ascii="Arial" w:hAnsi="Arial" w:cs="Arial"/>
                <w:color w:val="000000" w:themeColor="text1"/>
                <w:sz w:val="18"/>
                <w:szCs w:val="18"/>
              </w:rPr>
            </w:pPr>
          </w:p>
        </w:tc>
        <w:tc>
          <w:tcPr>
            <w:tcW w:w="699" w:type="dxa"/>
            <w:tcBorders>
              <w:top w:val="single" w:sz="4" w:space="0" w:color="auto"/>
              <w:bottom w:val="single" w:sz="4" w:space="0" w:color="auto"/>
            </w:tcBorders>
            <w:vAlign w:val="center"/>
          </w:tcPr>
          <w:p w14:paraId="0E13DEC8" w14:textId="77777777" w:rsidR="0022645E" w:rsidRPr="000214A8" w:rsidRDefault="0022645E" w:rsidP="0022645E">
            <w:pPr>
              <w:jc w:val="center"/>
              <w:rPr>
                <w:rFonts w:ascii="Arial" w:hAnsi="Arial" w:cs="Arial"/>
                <w:color w:val="000000" w:themeColor="text1"/>
                <w:sz w:val="18"/>
                <w:szCs w:val="18"/>
              </w:rPr>
            </w:pPr>
          </w:p>
        </w:tc>
        <w:tc>
          <w:tcPr>
            <w:tcW w:w="2125" w:type="dxa"/>
            <w:gridSpan w:val="3"/>
            <w:tcBorders>
              <w:top w:val="single" w:sz="4" w:space="0" w:color="auto"/>
              <w:bottom w:val="single" w:sz="4" w:space="0" w:color="auto"/>
            </w:tcBorders>
            <w:vAlign w:val="center"/>
          </w:tcPr>
          <w:p w14:paraId="2B566384"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1417" w:type="dxa"/>
            <w:gridSpan w:val="2"/>
            <w:tcBorders>
              <w:top w:val="single" w:sz="4" w:space="0" w:color="auto"/>
              <w:bottom w:val="single" w:sz="4" w:space="0" w:color="auto"/>
            </w:tcBorders>
            <w:vAlign w:val="center"/>
          </w:tcPr>
          <w:p w14:paraId="2C349605"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r w:rsidR="0022645E" w:rsidRPr="000214A8" w14:paraId="03BBCD71" w14:textId="77777777" w:rsidTr="00D758CE">
        <w:trPr>
          <w:trHeight w:val="603"/>
          <w:jc w:val="center"/>
        </w:trPr>
        <w:tc>
          <w:tcPr>
            <w:tcW w:w="829" w:type="dxa"/>
            <w:vMerge w:val="restart"/>
            <w:tcBorders>
              <w:top w:val="single" w:sz="18" w:space="0" w:color="auto"/>
            </w:tcBorders>
            <w:textDirection w:val="btLr"/>
            <w:vAlign w:val="center"/>
          </w:tcPr>
          <w:p w14:paraId="6636154E" w14:textId="3184BDEC" w:rsidR="0022645E" w:rsidRPr="00D90703" w:rsidRDefault="0022645E" w:rsidP="00A163CC">
            <w:pPr>
              <w:jc w:val="center"/>
              <w:rPr>
                <w:rFonts w:ascii="Arial" w:hAnsi="Arial" w:cs="Arial"/>
                <w:color w:val="000000" w:themeColor="text1"/>
                <w:sz w:val="18"/>
                <w:szCs w:val="18"/>
              </w:rPr>
            </w:pPr>
            <w:r w:rsidRPr="00D90703">
              <w:rPr>
                <w:rFonts w:ascii="Arial" w:hAnsi="Arial" w:cs="Arial"/>
                <w:b/>
                <w:bCs/>
                <w:color w:val="000000" w:themeColor="text1"/>
                <w:sz w:val="18"/>
                <w:szCs w:val="18"/>
              </w:rPr>
              <w:t xml:space="preserve">OBJ </w:t>
            </w:r>
            <w:r w:rsidR="00E3724A">
              <w:rPr>
                <w:rFonts w:ascii="Arial" w:hAnsi="Arial" w:cs="Arial"/>
                <w:b/>
                <w:bCs/>
                <w:color w:val="000000" w:themeColor="text1"/>
                <w:sz w:val="18"/>
                <w:szCs w:val="18"/>
              </w:rPr>
              <w:t>D</w:t>
            </w:r>
            <w:r w:rsidRPr="00D90703">
              <w:rPr>
                <w:rFonts w:ascii="Arial" w:hAnsi="Arial" w:cs="Arial"/>
                <w:b/>
                <w:bCs/>
                <w:color w:val="000000" w:themeColor="text1"/>
                <w:sz w:val="18"/>
                <w:szCs w:val="18"/>
              </w:rPr>
              <w:br/>
              <w:t>$</w:t>
            </w:r>
            <w:r w:rsidR="00E3724A">
              <w:rPr>
                <w:rFonts w:ascii="Arial" w:hAnsi="Arial" w:cs="Arial"/>
                <w:b/>
                <w:bCs/>
                <w:color w:val="000000" w:themeColor="text1"/>
                <w:sz w:val="18"/>
                <w:szCs w:val="18"/>
              </w:rPr>
              <w:t>6,400</w:t>
            </w:r>
          </w:p>
        </w:tc>
        <w:tc>
          <w:tcPr>
            <w:tcW w:w="2828" w:type="dxa"/>
            <w:gridSpan w:val="4"/>
            <w:tcBorders>
              <w:top w:val="single" w:sz="18" w:space="0" w:color="auto"/>
            </w:tcBorders>
            <w:vAlign w:val="center"/>
          </w:tcPr>
          <w:p w14:paraId="43DC3810" w14:textId="64B560DF"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With HIPPC, develop list of candidate insecticides/miticides</w:t>
            </w:r>
          </w:p>
        </w:tc>
        <w:tc>
          <w:tcPr>
            <w:tcW w:w="710" w:type="dxa"/>
            <w:tcBorders>
              <w:top w:val="single" w:sz="18" w:space="0" w:color="auto"/>
            </w:tcBorders>
            <w:vAlign w:val="center"/>
          </w:tcPr>
          <w:p w14:paraId="725F98C6"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18" w:space="0" w:color="auto"/>
            </w:tcBorders>
            <w:vAlign w:val="center"/>
          </w:tcPr>
          <w:p w14:paraId="5874D166" w14:textId="77777777" w:rsidR="0022645E" w:rsidRPr="000214A8" w:rsidRDefault="0022645E" w:rsidP="0022645E">
            <w:pPr>
              <w:jc w:val="center"/>
              <w:rPr>
                <w:rFonts w:ascii="Arial" w:hAnsi="Arial" w:cs="Arial"/>
                <w:color w:val="000000" w:themeColor="text1"/>
                <w:sz w:val="18"/>
                <w:szCs w:val="18"/>
              </w:rPr>
            </w:pPr>
          </w:p>
        </w:tc>
        <w:tc>
          <w:tcPr>
            <w:tcW w:w="699" w:type="dxa"/>
            <w:tcBorders>
              <w:top w:val="single" w:sz="18" w:space="0" w:color="auto"/>
            </w:tcBorders>
            <w:vAlign w:val="center"/>
          </w:tcPr>
          <w:p w14:paraId="14921E6F" w14:textId="77777777" w:rsidR="0022645E" w:rsidRPr="000214A8" w:rsidRDefault="0022645E" w:rsidP="0022645E">
            <w:pPr>
              <w:jc w:val="center"/>
              <w:rPr>
                <w:rFonts w:ascii="Arial" w:hAnsi="Arial" w:cs="Arial"/>
                <w:color w:val="000000" w:themeColor="text1"/>
                <w:sz w:val="18"/>
                <w:szCs w:val="18"/>
              </w:rPr>
            </w:pPr>
          </w:p>
        </w:tc>
        <w:tc>
          <w:tcPr>
            <w:tcW w:w="712" w:type="dxa"/>
            <w:tcBorders>
              <w:top w:val="single" w:sz="18" w:space="0" w:color="auto"/>
            </w:tcBorders>
            <w:vAlign w:val="center"/>
          </w:tcPr>
          <w:p w14:paraId="44A63CC6"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18" w:space="0" w:color="auto"/>
            </w:tcBorders>
            <w:vAlign w:val="center"/>
          </w:tcPr>
          <w:p w14:paraId="38765777" w14:textId="77777777" w:rsidR="0022645E" w:rsidRPr="000214A8" w:rsidRDefault="0022645E" w:rsidP="0022645E">
            <w:pPr>
              <w:jc w:val="center"/>
              <w:rPr>
                <w:rFonts w:ascii="Arial" w:hAnsi="Arial" w:cs="Arial"/>
                <w:color w:val="000000" w:themeColor="text1"/>
                <w:sz w:val="18"/>
                <w:szCs w:val="18"/>
              </w:rPr>
            </w:pPr>
          </w:p>
        </w:tc>
        <w:tc>
          <w:tcPr>
            <w:tcW w:w="707" w:type="dxa"/>
            <w:tcBorders>
              <w:top w:val="single" w:sz="18" w:space="0" w:color="auto"/>
            </w:tcBorders>
            <w:vAlign w:val="center"/>
          </w:tcPr>
          <w:p w14:paraId="2F063A69" w14:textId="77777777" w:rsidR="0022645E" w:rsidRPr="000214A8" w:rsidRDefault="0022645E" w:rsidP="0022645E">
            <w:pPr>
              <w:jc w:val="center"/>
              <w:rPr>
                <w:rFonts w:ascii="Arial" w:hAnsi="Arial" w:cs="Arial"/>
                <w:color w:val="000000" w:themeColor="text1"/>
                <w:sz w:val="18"/>
                <w:szCs w:val="18"/>
              </w:rPr>
            </w:pPr>
          </w:p>
        </w:tc>
        <w:tc>
          <w:tcPr>
            <w:tcW w:w="1417" w:type="dxa"/>
            <w:gridSpan w:val="2"/>
            <w:vMerge w:val="restart"/>
            <w:tcBorders>
              <w:top w:val="single" w:sz="18" w:space="0" w:color="auto"/>
            </w:tcBorders>
            <w:vAlign w:val="center"/>
          </w:tcPr>
          <w:p w14:paraId="1CFBA13E"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Refine list of chemicals deemed safe for pred. mites</w:t>
            </w:r>
          </w:p>
        </w:tc>
      </w:tr>
      <w:tr w:rsidR="0022645E" w:rsidRPr="000214A8" w14:paraId="715FD816" w14:textId="77777777" w:rsidTr="00D758CE">
        <w:trPr>
          <w:trHeight w:val="530"/>
          <w:jc w:val="center"/>
        </w:trPr>
        <w:tc>
          <w:tcPr>
            <w:tcW w:w="829" w:type="dxa"/>
            <w:vMerge/>
            <w:tcBorders>
              <w:bottom w:val="single" w:sz="18" w:space="0" w:color="auto"/>
            </w:tcBorders>
          </w:tcPr>
          <w:p w14:paraId="5EB34392" w14:textId="77777777" w:rsidR="0022645E" w:rsidRPr="00D90703" w:rsidRDefault="0022645E" w:rsidP="00A163CC">
            <w:pPr>
              <w:rPr>
                <w:rFonts w:ascii="Arial" w:hAnsi="Arial" w:cs="Arial"/>
                <w:color w:val="000000" w:themeColor="text1"/>
                <w:sz w:val="18"/>
                <w:szCs w:val="18"/>
              </w:rPr>
            </w:pPr>
          </w:p>
        </w:tc>
        <w:tc>
          <w:tcPr>
            <w:tcW w:w="705" w:type="dxa"/>
            <w:tcBorders>
              <w:bottom w:val="single" w:sz="18" w:space="0" w:color="auto"/>
            </w:tcBorders>
            <w:vAlign w:val="center"/>
          </w:tcPr>
          <w:p w14:paraId="1E34315A" w14:textId="77777777" w:rsidR="0022645E" w:rsidRPr="000214A8" w:rsidRDefault="0022645E" w:rsidP="0022645E">
            <w:pPr>
              <w:jc w:val="center"/>
              <w:rPr>
                <w:rFonts w:ascii="Arial" w:hAnsi="Arial" w:cs="Arial"/>
                <w:color w:val="000000" w:themeColor="text1"/>
                <w:sz w:val="18"/>
                <w:szCs w:val="18"/>
              </w:rPr>
            </w:pPr>
          </w:p>
        </w:tc>
        <w:tc>
          <w:tcPr>
            <w:tcW w:w="706" w:type="dxa"/>
            <w:tcBorders>
              <w:bottom w:val="single" w:sz="18" w:space="0" w:color="auto"/>
            </w:tcBorders>
            <w:vAlign w:val="center"/>
          </w:tcPr>
          <w:p w14:paraId="53560018" w14:textId="77777777" w:rsidR="0022645E" w:rsidRPr="000214A8" w:rsidRDefault="0022645E" w:rsidP="0022645E">
            <w:pPr>
              <w:jc w:val="center"/>
              <w:rPr>
                <w:rFonts w:ascii="Arial" w:hAnsi="Arial" w:cs="Arial"/>
                <w:color w:val="000000" w:themeColor="text1"/>
                <w:sz w:val="18"/>
                <w:szCs w:val="18"/>
              </w:rPr>
            </w:pPr>
          </w:p>
        </w:tc>
        <w:tc>
          <w:tcPr>
            <w:tcW w:w="711" w:type="dxa"/>
            <w:tcBorders>
              <w:bottom w:val="single" w:sz="18" w:space="0" w:color="auto"/>
            </w:tcBorders>
            <w:vAlign w:val="center"/>
          </w:tcPr>
          <w:p w14:paraId="254E6D9D" w14:textId="77777777" w:rsidR="0022645E" w:rsidRPr="000214A8" w:rsidRDefault="0022645E" w:rsidP="0022645E">
            <w:pPr>
              <w:jc w:val="center"/>
              <w:rPr>
                <w:rFonts w:ascii="Arial" w:hAnsi="Arial" w:cs="Arial"/>
                <w:color w:val="000000" w:themeColor="text1"/>
                <w:sz w:val="18"/>
                <w:szCs w:val="18"/>
              </w:rPr>
            </w:pPr>
          </w:p>
        </w:tc>
        <w:tc>
          <w:tcPr>
            <w:tcW w:w="2821" w:type="dxa"/>
            <w:gridSpan w:val="4"/>
            <w:tcBorders>
              <w:bottom w:val="single" w:sz="18" w:space="0" w:color="auto"/>
            </w:tcBorders>
            <w:vAlign w:val="center"/>
          </w:tcPr>
          <w:p w14:paraId="4CCFF228"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Conduct laboratory studies on predatory mite colonies</w:t>
            </w:r>
          </w:p>
        </w:tc>
        <w:tc>
          <w:tcPr>
            <w:tcW w:w="2125" w:type="dxa"/>
            <w:gridSpan w:val="3"/>
            <w:tcBorders>
              <w:bottom w:val="single" w:sz="18" w:space="0" w:color="auto"/>
            </w:tcBorders>
            <w:vAlign w:val="center"/>
          </w:tcPr>
          <w:p w14:paraId="6089C55E"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Analyze results</w:t>
            </w:r>
          </w:p>
        </w:tc>
        <w:tc>
          <w:tcPr>
            <w:tcW w:w="1417" w:type="dxa"/>
            <w:gridSpan w:val="2"/>
            <w:vMerge/>
            <w:tcBorders>
              <w:bottom w:val="single" w:sz="18" w:space="0" w:color="auto"/>
            </w:tcBorders>
            <w:vAlign w:val="center"/>
          </w:tcPr>
          <w:p w14:paraId="20658303" w14:textId="77777777" w:rsidR="0022645E" w:rsidRPr="000214A8" w:rsidRDefault="0022645E" w:rsidP="0022645E">
            <w:pPr>
              <w:jc w:val="center"/>
              <w:rPr>
                <w:rFonts w:ascii="Arial" w:hAnsi="Arial" w:cs="Arial"/>
                <w:color w:val="000000" w:themeColor="text1"/>
                <w:sz w:val="18"/>
                <w:szCs w:val="18"/>
              </w:rPr>
            </w:pPr>
          </w:p>
        </w:tc>
      </w:tr>
      <w:tr w:rsidR="0022645E" w:rsidRPr="000214A8" w14:paraId="433BF207" w14:textId="77777777" w:rsidTr="00D758CE">
        <w:trPr>
          <w:trHeight w:val="585"/>
          <w:jc w:val="center"/>
        </w:trPr>
        <w:tc>
          <w:tcPr>
            <w:tcW w:w="829" w:type="dxa"/>
            <w:vMerge w:val="restart"/>
            <w:tcBorders>
              <w:top w:val="single" w:sz="18" w:space="0" w:color="auto"/>
              <w:bottom w:val="single" w:sz="4" w:space="0" w:color="auto"/>
            </w:tcBorders>
            <w:textDirection w:val="btLr"/>
            <w:vAlign w:val="center"/>
          </w:tcPr>
          <w:p w14:paraId="04F1C792" w14:textId="06A0C3F1" w:rsidR="0022645E" w:rsidRPr="00D90703" w:rsidRDefault="0022645E" w:rsidP="00A163CC">
            <w:pPr>
              <w:jc w:val="center"/>
              <w:rPr>
                <w:rFonts w:ascii="Arial" w:hAnsi="Arial" w:cs="Arial"/>
                <w:color w:val="000000" w:themeColor="text1"/>
                <w:sz w:val="18"/>
                <w:szCs w:val="18"/>
              </w:rPr>
            </w:pPr>
            <w:r w:rsidRPr="00D90703">
              <w:rPr>
                <w:rFonts w:ascii="Arial" w:hAnsi="Arial" w:cs="Arial"/>
                <w:b/>
                <w:bCs/>
                <w:color w:val="000000" w:themeColor="text1"/>
                <w:sz w:val="18"/>
                <w:szCs w:val="18"/>
              </w:rPr>
              <w:t xml:space="preserve">OBJ </w:t>
            </w:r>
            <w:r w:rsidR="00E3724A">
              <w:rPr>
                <w:rFonts w:ascii="Arial" w:hAnsi="Arial" w:cs="Arial"/>
                <w:b/>
                <w:bCs/>
                <w:color w:val="000000" w:themeColor="text1"/>
                <w:sz w:val="18"/>
                <w:szCs w:val="18"/>
              </w:rPr>
              <w:t>E</w:t>
            </w:r>
            <w:r w:rsidRPr="00D90703">
              <w:rPr>
                <w:rFonts w:ascii="Arial" w:hAnsi="Arial" w:cs="Arial"/>
                <w:b/>
                <w:bCs/>
                <w:color w:val="000000" w:themeColor="text1"/>
                <w:sz w:val="18"/>
                <w:szCs w:val="18"/>
              </w:rPr>
              <w:br/>
              <w:t>$</w:t>
            </w:r>
            <w:r w:rsidR="00E3724A">
              <w:rPr>
                <w:rFonts w:ascii="Arial" w:hAnsi="Arial" w:cs="Arial"/>
                <w:b/>
                <w:bCs/>
                <w:color w:val="000000" w:themeColor="text1"/>
                <w:sz w:val="18"/>
                <w:szCs w:val="18"/>
              </w:rPr>
              <w:t>15,500</w:t>
            </w:r>
          </w:p>
        </w:tc>
        <w:tc>
          <w:tcPr>
            <w:tcW w:w="3538" w:type="dxa"/>
            <w:gridSpan w:val="5"/>
            <w:tcBorders>
              <w:top w:val="single" w:sz="18" w:space="0" w:color="auto"/>
              <w:bottom w:val="single" w:sz="4" w:space="0" w:color="auto"/>
            </w:tcBorders>
            <w:vAlign w:val="center"/>
          </w:tcPr>
          <w:p w14:paraId="4A81DE04"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Refine IAREC research plots as needed</w:t>
            </w:r>
          </w:p>
        </w:tc>
        <w:tc>
          <w:tcPr>
            <w:tcW w:w="3530" w:type="dxa"/>
            <w:gridSpan w:val="5"/>
            <w:tcBorders>
              <w:top w:val="single" w:sz="18" w:space="0" w:color="auto"/>
              <w:bottom w:val="single" w:sz="4" w:space="0" w:color="auto"/>
            </w:tcBorders>
            <w:vAlign w:val="center"/>
          </w:tcPr>
          <w:p w14:paraId="732F1F35"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Apply pesticides of concern at various rates, frequencies, and PHI intervals</w:t>
            </w:r>
          </w:p>
        </w:tc>
        <w:tc>
          <w:tcPr>
            <w:tcW w:w="709" w:type="dxa"/>
            <w:tcBorders>
              <w:top w:val="single" w:sz="18" w:space="0" w:color="auto"/>
              <w:bottom w:val="single" w:sz="4" w:space="0" w:color="auto"/>
            </w:tcBorders>
            <w:vAlign w:val="center"/>
          </w:tcPr>
          <w:p w14:paraId="71CD39B3" w14:textId="77777777" w:rsidR="0022645E" w:rsidRPr="000214A8" w:rsidRDefault="0022645E" w:rsidP="0022645E">
            <w:pPr>
              <w:jc w:val="center"/>
              <w:rPr>
                <w:rFonts w:ascii="Arial" w:hAnsi="Arial" w:cs="Arial"/>
                <w:color w:val="000000" w:themeColor="text1"/>
                <w:sz w:val="18"/>
                <w:szCs w:val="18"/>
              </w:rPr>
            </w:pPr>
          </w:p>
        </w:tc>
        <w:tc>
          <w:tcPr>
            <w:tcW w:w="708" w:type="dxa"/>
            <w:tcBorders>
              <w:top w:val="single" w:sz="18" w:space="0" w:color="auto"/>
              <w:bottom w:val="single" w:sz="4" w:space="0" w:color="auto"/>
            </w:tcBorders>
            <w:vAlign w:val="center"/>
          </w:tcPr>
          <w:p w14:paraId="692B7532" w14:textId="77777777" w:rsidR="0022645E" w:rsidRPr="000214A8" w:rsidRDefault="0022645E" w:rsidP="0022645E">
            <w:pPr>
              <w:jc w:val="center"/>
              <w:rPr>
                <w:rFonts w:ascii="Arial" w:hAnsi="Arial" w:cs="Arial"/>
                <w:color w:val="000000" w:themeColor="text1"/>
                <w:sz w:val="18"/>
                <w:szCs w:val="18"/>
              </w:rPr>
            </w:pPr>
          </w:p>
        </w:tc>
      </w:tr>
      <w:tr w:rsidR="0022645E" w:rsidRPr="000214A8" w14:paraId="46009353" w14:textId="77777777" w:rsidTr="00D758CE">
        <w:trPr>
          <w:trHeight w:val="809"/>
          <w:jc w:val="center"/>
        </w:trPr>
        <w:tc>
          <w:tcPr>
            <w:tcW w:w="829" w:type="dxa"/>
            <w:vMerge/>
            <w:tcBorders>
              <w:top w:val="single" w:sz="4" w:space="0" w:color="auto"/>
              <w:bottom w:val="single" w:sz="4" w:space="0" w:color="auto"/>
            </w:tcBorders>
          </w:tcPr>
          <w:p w14:paraId="6DC0E1D6" w14:textId="77777777" w:rsidR="0022645E" w:rsidRPr="00D90703" w:rsidRDefault="0022645E" w:rsidP="00A163CC">
            <w:pPr>
              <w:rPr>
                <w:rFonts w:ascii="Arial" w:hAnsi="Arial" w:cs="Arial"/>
                <w:color w:val="000000" w:themeColor="text1"/>
                <w:sz w:val="18"/>
                <w:szCs w:val="18"/>
              </w:rPr>
            </w:pPr>
          </w:p>
        </w:tc>
        <w:tc>
          <w:tcPr>
            <w:tcW w:w="705" w:type="dxa"/>
            <w:tcBorders>
              <w:top w:val="single" w:sz="4" w:space="0" w:color="auto"/>
              <w:bottom w:val="single" w:sz="4" w:space="0" w:color="auto"/>
            </w:tcBorders>
            <w:vAlign w:val="center"/>
          </w:tcPr>
          <w:p w14:paraId="1BA4D325"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1D44E46C" w14:textId="77777777" w:rsidR="0022645E" w:rsidRPr="000214A8" w:rsidRDefault="0022645E" w:rsidP="0022645E">
            <w:pPr>
              <w:jc w:val="center"/>
              <w:rPr>
                <w:rFonts w:ascii="Arial" w:hAnsi="Arial" w:cs="Arial"/>
                <w:color w:val="000000" w:themeColor="text1"/>
                <w:sz w:val="18"/>
                <w:szCs w:val="18"/>
              </w:rPr>
            </w:pPr>
          </w:p>
        </w:tc>
        <w:tc>
          <w:tcPr>
            <w:tcW w:w="2833" w:type="dxa"/>
            <w:gridSpan w:val="4"/>
            <w:tcBorders>
              <w:top w:val="single" w:sz="4" w:space="0" w:color="auto"/>
              <w:bottom w:val="single" w:sz="4" w:space="0" w:color="auto"/>
            </w:tcBorders>
            <w:vAlign w:val="center"/>
          </w:tcPr>
          <w:p w14:paraId="76FBBCA0" w14:textId="6089A879"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Refine protocols with 202</w:t>
            </w:r>
            <w:r w:rsidR="00592892">
              <w:rPr>
                <w:rFonts w:ascii="Arial" w:hAnsi="Arial" w:cs="Arial"/>
                <w:color w:val="000000" w:themeColor="text1"/>
                <w:sz w:val="18"/>
                <w:szCs w:val="18"/>
              </w:rPr>
              <w:t>1</w:t>
            </w:r>
            <w:r>
              <w:rPr>
                <w:rFonts w:ascii="Arial" w:hAnsi="Arial" w:cs="Arial"/>
                <w:color w:val="000000" w:themeColor="text1"/>
                <w:sz w:val="18"/>
                <w:szCs w:val="18"/>
              </w:rPr>
              <w:t xml:space="preserve"> data</w:t>
            </w:r>
          </w:p>
        </w:tc>
        <w:tc>
          <w:tcPr>
            <w:tcW w:w="699" w:type="dxa"/>
            <w:tcBorders>
              <w:top w:val="single" w:sz="4" w:space="0" w:color="auto"/>
              <w:bottom w:val="single" w:sz="4" w:space="0" w:color="auto"/>
            </w:tcBorders>
            <w:vAlign w:val="center"/>
          </w:tcPr>
          <w:p w14:paraId="32804B93" w14:textId="77777777" w:rsidR="0022645E" w:rsidRPr="000214A8" w:rsidRDefault="0022645E" w:rsidP="0022645E">
            <w:pPr>
              <w:jc w:val="center"/>
              <w:rPr>
                <w:rFonts w:ascii="Arial" w:hAnsi="Arial" w:cs="Arial"/>
                <w:color w:val="000000" w:themeColor="text1"/>
                <w:sz w:val="18"/>
                <w:szCs w:val="18"/>
              </w:rPr>
            </w:pPr>
          </w:p>
        </w:tc>
        <w:tc>
          <w:tcPr>
            <w:tcW w:w="2834" w:type="dxa"/>
            <w:gridSpan w:val="4"/>
            <w:tcBorders>
              <w:top w:val="single" w:sz="4" w:space="0" w:color="auto"/>
              <w:bottom w:val="single" w:sz="4" w:space="0" w:color="auto"/>
            </w:tcBorders>
            <w:vAlign w:val="center"/>
          </w:tcPr>
          <w:p w14:paraId="7EE00D35"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Residue analysis at Pacific Analytical; data analysis at IAREC</w:t>
            </w:r>
          </w:p>
        </w:tc>
        <w:tc>
          <w:tcPr>
            <w:tcW w:w="708" w:type="dxa"/>
            <w:tcBorders>
              <w:top w:val="single" w:sz="4" w:space="0" w:color="auto"/>
              <w:bottom w:val="single" w:sz="4" w:space="0" w:color="auto"/>
            </w:tcBorders>
            <w:vAlign w:val="center"/>
          </w:tcPr>
          <w:p w14:paraId="74679D0B" w14:textId="77777777" w:rsidR="0022645E" w:rsidRPr="000214A8" w:rsidRDefault="0022645E" w:rsidP="0022645E">
            <w:pPr>
              <w:jc w:val="center"/>
              <w:rPr>
                <w:rFonts w:ascii="Arial" w:hAnsi="Arial" w:cs="Arial"/>
                <w:color w:val="000000" w:themeColor="text1"/>
                <w:sz w:val="18"/>
                <w:szCs w:val="18"/>
              </w:rPr>
            </w:pPr>
          </w:p>
        </w:tc>
      </w:tr>
      <w:tr w:rsidR="0022645E" w:rsidRPr="000214A8" w14:paraId="4A4511E1" w14:textId="77777777" w:rsidTr="001058D5">
        <w:trPr>
          <w:trHeight w:val="360"/>
          <w:jc w:val="center"/>
        </w:trPr>
        <w:tc>
          <w:tcPr>
            <w:tcW w:w="829" w:type="dxa"/>
            <w:vMerge/>
            <w:tcBorders>
              <w:top w:val="single" w:sz="4" w:space="0" w:color="auto"/>
              <w:bottom w:val="single" w:sz="18" w:space="0" w:color="auto"/>
            </w:tcBorders>
          </w:tcPr>
          <w:p w14:paraId="1F20B963" w14:textId="77777777" w:rsidR="0022645E" w:rsidRPr="00D90703" w:rsidRDefault="0022645E" w:rsidP="00A163CC">
            <w:pPr>
              <w:rPr>
                <w:rFonts w:ascii="Arial" w:hAnsi="Arial" w:cs="Arial"/>
                <w:color w:val="000000" w:themeColor="text1"/>
                <w:sz w:val="18"/>
                <w:szCs w:val="18"/>
              </w:rPr>
            </w:pPr>
          </w:p>
        </w:tc>
        <w:tc>
          <w:tcPr>
            <w:tcW w:w="705" w:type="dxa"/>
            <w:tcBorders>
              <w:top w:val="single" w:sz="4" w:space="0" w:color="auto"/>
              <w:bottom w:val="single" w:sz="18" w:space="0" w:color="auto"/>
            </w:tcBorders>
            <w:vAlign w:val="center"/>
          </w:tcPr>
          <w:p w14:paraId="4574C376"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2B7B5E0F" w14:textId="77777777" w:rsidR="0022645E" w:rsidRPr="000214A8" w:rsidRDefault="0022645E" w:rsidP="0022645E">
            <w:pPr>
              <w:jc w:val="center"/>
              <w:rPr>
                <w:rFonts w:ascii="Arial" w:hAnsi="Arial" w:cs="Arial"/>
                <w:color w:val="000000" w:themeColor="text1"/>
                <w:sz w:val="18"/>
                <w:szCs w:val="18"/>
              </w:rPr>
            </w:pPr>
          </w:p>
        </w:tc>
        <w:tc>
          <w:tcPr>
            <w:tcW w:w="711" w:type="dxa"/>
            <w:tcBorders>
              <w:top w:val="single" w:sz="4" w:space="0" w:color="auto"/>
              <w:bottom w:val="single" w:sz="18" w:space="0" w:color="auto"/>
            </w:tcBorders>
            <w:vAlign w:val="center"/>
          </w:tcPr>
          <w:p w14:paraId="36D43746"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06593965" w14:textId="77777777" w:rsidR="0022645E" w:rsidRPr="000214A8" w:rsidRDefault="0022645E" w:rsidP="0022645E">
            <w:pPr>
              <w:jc w:val="center"/>
              <w:rPr>
                <w:rFonts w:ascii="Arial" w:hAnsi="Arial" w:cs="Arial"/>
                <w:color w:val="000000" w:themeColor="text1"/>
                <w:sz w:val="18"/>
                <w:szCs w:val="18"/>
              </w:rPr>
            </w:pPr>
          </w:p>
        </w:tc>
        <w:tc>
          <w:tcPr>
            <w:tcW w:w="710" w:type="dxa"/>
            <w:tcBorders>
              <w:top w:val="single" w:sz="4" w:space="0" w:color="auto"/>
              <w:bottom w:val="single" w:sz="18" w:space="0" w:color="auto"/>
            </w:tcBorders>
            <w:vAlign w:val="center"/>
          </w:tcPr>
          <w:p w14:paraId="27FB9DAD"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7ADCC259" w14:textId="77777777" w:rsidR="0022645E" w:rsidRPr="000214A8" w:rsidRDefault="0022645E" w:rsidP="0022645E">
            <w:pPr>
              <w:jc w:val="center"/>
              <w:rPr>
                <w:rFonts w:ascii="Arial" w:hAnsi="Arial" w:cs="Arial"/>
                <w:color w:val="000000" w:themeColor="text1"/>
                <w:sz w:val="18"/>
                <w:szCs w:val="18"/>
              </w:rPr>
            </w:pPr>
          </w:p>
        </w:tc>
        <w:tc>
          <w:tcPr>
            <w:tcW w:w="699" w:type="dxa"/>
            <w:tcBorders>
              <w:top w:val="single" w:sz="4" w:space="0" w:color="auto"/>
              <w:bottom w:val="single" w:sz="18" w:space="0" w:color="auto"/>
            </w:tcBorders>
            <w:vAlign w:val="center"/>
          </w:tcPr>
          <w:p w14:paraId="0218BBA2" w14:textId="77777777" w:rsidR="0022645E" w:rsidRPr="000214A8" w:rsidRDefault="0022645E" w:rsidP="0022645E">
            <w:pPr>
              <w:jc w:val="center"/>
              <w:rPr>
                <w:rFonts w:ascii="Arial" w:hAnsi="Arial" w:cs="Arial"/>
                <w:color w:val="000000" w:themeColor="text1"/>
                <w:sz w:val="18"/>
                <w:szCs w:val="18"/>
              </w:rPr>
            </w:pPr>
          </w:p>
        </w:tc>
        <w:tc>
          <w:tcPr>
            <w:tcW w:w="712" w:type="dxa"/>
            <w:tcBorders>
              <w:top w:val="single" w:sz="4" w:space="0" w:color="auto"/>
              <w:bottom w:val="single" w:sz="18" w:space="0" w:color="auto"/>
            </w:tcBorders>
            <w:vAlign w:val="center"/>
          </w:tcPr>
          <w:p w14:paraId="09E2ED87" w14:textId="77777777" w:rsidR="0022645E" w:rsidRPr="000214A8" w:rsidRDefault="0022645E"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61BF05F2" w14:textId="77777777" w:rsidR="0022645E" w:rsidRPr="000214A8" w:rsidRDefault="0022645E" w:rsidP="0022645E">
            <w:pPr>
              <w:jc w:val="center"/>
              <w:rPr>
                <w:rFonts w:ascii="Arial" w:hAnsi="Arial" w:cs="Arial"/>
                <w:color w:val="000000" w:themeColor="text1"/>
                <w:sz w:val="18"/>
                <w:szCs w:val="18"/>
              </w:rPr>
            </w:pPr>
          </w:p>
        </w:tc>
        <w:tc>
          <w:tcPr>
            <w:tcW w:w="2124" w:type="dxa"/>
            <w:gridSpan w:val="3"/>
            <w:tcBorders>
              <w:top w:val="single" w:sz="4" w:space="0" w:color="auto"/>
              <w:bottom w:val="single" w:sz="18" w:space="0" w:color="auto"/>
            </w:tcBorders>
            <w:vAlign w:val="center"/>
          </w:tcPr>
          <w:p w14:paraId="785404B2" w14:textId="77777777" w:rsidR="0022645E" w:rsidRPr="000214A8" w:rsidRDefault="0022645E" w:rsidP="0022645E">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r w:rsidR="00592892" w:rsidRPr="000214A8" w14:paraId="15B8459D" w14:textId="77777777" w:rsidTr="00D758CE">
        <w:trPr>
          <w:trHeight w:val="360"/>
          <w:jc w:val="center"/>
        </w:trPr>
        <w:tc>
          <w:tcPr>
            <w:tcW w:w="829" w:type="dxa"/>
            <w:vMerge w:val="restart"/>
            <w:tcBorders>
              <w:top w:val="single" w:sz="18" w:space="0" w:color="auto"/>
            </w:tcBorders>
            <w:textDirection w:val="btLr"/>
            <w:vAlign w:val="center"/>
          </w:tcPr>
          <w:p w14:paraId="4AD66DC9" w14:textId="77777777" w:rsidR="00592892" w:rsidRPr="001058D5" w:rsidRDefault="00592892" w:rsidP="001058D5">
            <w:pPr>
              <w:ind w:left="113" w:right="113"/>
              <w:jc w:val="center"/>
              <w:rPr>
                <w:rFonts w:ascii="Arial" w:hAnsi="Arial" w:cs="Arial"/>
                <w:b/>
                <w:bCs/>
                <w:color w:val="000000" w:themeColor="text1"/>
                <w:sz w:val="18"/>
                <w:szCs w:val="18"/>
              </w:rPr>
            </w:pPr>
            <w:r w:rsidRPr="001058D5">
              <w:rPr>
                <w:rFonts w:ascii="Arial" w:hAnsi="Arial" w:cs="Arial"/>
                <w:b/>
                <w:bCs/>
                <w:color w:val="000000" w:themeColor="text1"/>
                <w:sz w:val="18"/>
                <w:szCs w:val="18"/>
              </w:rPr>
              <w:t>OBJ F</w:t>
            </w:r>
          </w:p>
          <w:p w14:paraId="482948FC" w14:textId="60DED12E" w:rsidR="00592892" w:rsidRPr="00D90703" w:rsidRDefault="00592892" w:rsidP="001058D5">
            <w:pPr>
              <w:ind w:left="113" w:right="113"/>
              <w:jc w:val="center"/>
              <w:rPr>
                <w:rFonts w:ascii="Arial" w:hAnsi="Arial" w:cs="Arial"/>
                <w:color w:val="000000" w:themeColor="text1"/>
                <w:sz w:val="18"/>
                <w:szCs w:val="18"/>
              </w:rPr>
            </w:pPr>
            <w:r w:rsidRPr="001058D5">
              <w:rPr>
                <w:rFonts w:ascii="Arial" w:hAnsi="Arial" w:cs="Arial"/>
                <w:b/>
                <w:bCs/>
                <w:color w:val="000000" w:themeColor="text1"/>
                <w:sz w:val="18"/>
                <w:szCs w:val="18"/>
              </w:rPr>
              <w:t>$7,809</w:t>
            </w:r>
          </w:p>
        </w:tc>
        <w:tc>
          <w:tcPr>
            <w:tcW w:w="705" w:type="dxa"/>
            <w:tcBorders>
              <w:top w:val="single" w:sz="18" w:space="0" w:color="auto"/>
              <w:bottom w:val="single" w:sz="4" w:space="0" w:color="auto"/>
            </w:tcBorders>
            <w:vAlign w:val="center"/>
          </w:tcPr>
          <w:p w14:paraId="72E1D139" w14:textId="77777777" w:rsidR="00592892" w:rsidRPr="000214A8" w:rsidRDefault="00592892" w:rsidP="0022645E">
            <w:pPr>
              <w:jc w:val="center"/>
              <w:rPr>
                <w:rFonts w:ascii="Arial" w:hAnsi="Arial" w:cs="Arial"/>
                <w:color w:val="000000" w:themeColor="text1"/>
                <w:sz w:val="18"/>
                <w:szCs w:val="18"/>
              </w:rPr>
            </w:pPr>
          </w:p>
        </w:tc>
        <w:tc>
          <w:tcPr>
            <w:tcW w:w="706" w:type="dxa"/>
            <w:tcBorders>
              <w:top w:val="single" w:sz="18" w:space="0" w:color="auto"/>
              <w:bottom w:val="single" w:sz="4" w:space="0" w:color="auto"/>
            </w:tcBorders>
            <w:vAlign w:val="center"/>
          </w:tcPr>
          <w:p w14:paraId="5C246434" w14:textId="77777777" w:rsidR="00592892" w:rsidRPr="000214A8" w:rsidRDefault="00592892" w:rsidP="0022645E">
            <w:pPr>
              <w:jc w:val="center"/>
              <w:rPr>
                <w:rFonts w:ascii="Arial" w:hAnsi="Arial" w:cs="Arial"/>
                <w:color w:val="000000" w:themeColor="text1"/>
                <w:sz w:val="18"/>
                <w:szCs w:val="18"/>
              </w:rPr>
            </w:pPr>
          </w:p>
        </w:tc>
        <w:tc>
          <w:tcPr>
            <w:tcW w:w="711" w:type="dxa"/>
            <w:tcBorders>
              <w:top w:val="single" w:sz="18" w:space="0" w:color="auto"/>
              <w:bottom w:val="single" w:sz="4" w:space="0" w:color="auto"/>
            </w:tcBorders>
            <w:vAlign w:val="center"/>
          </w:tcPr>
          <w:p w14:paraId="7B24F953" w14:textId="77777777" w:rsidR="00592892" w:rsidRPr="000214A8" w:rsidRDefault="00592892" w:rsidP="0022645E">
            <w:pPr>
              <w:jc w:val="center"/>
              <w:rPr>
                <w:rFonts w:ascii="Arial" w:hAnsi="Arial" w:cs="Arial"/>
                <w:color w:val="000000" w:themeColor="text1"/>
                <w:sz w:val="18"/>
                <w:szCs w:val="18"/>
              </w:rPr>
            </w:pPr>
          </w:p>
        </w:tc>
        <w:tc>
          <w:tcPr>
            <w:tcW w:w="706" w:type="dxa"/>
            <w:tcBorders>
              <w:top w:val="single" w:sz="18" w:space="0" w:color="auto"/>
              <w:bottom w:val="single" w:sz="4" w:space="0" w:color="auto"/>
            </w:tcBorders>
            <w:vAlign w:val="center"/>
          </w:tcPr>
          <w:p w14:paraId="547DEE92" w14:textId="77777777" w:rsidR="00592892" w:rsidRPr="000214A8" w:rsidRDefault="00592892" w:rsidP="0022645E">
            <w:pPr>
              <w:jc w:val="center"/>
              <w:rPr>
                <w:rFonts w:ascii="Arial" w:hAnsi="Arial" w:cs="Arial"/>
                <w:color w:val="000000" w:themeColor="text1"/>
                <w:sz w:val="18"/>
                <w:szCs w:val="18"/>
              </w:rPr>
            </w:pPr>
          </w:p>
        </w:tc>
        <w:tc>
          <w:tcPr>
            <w:tcW w:w="710" w:type="dxa"/>
            <w:tcBorders>
              <w:top w:val="single" w:sz="18" w:space="0" w:color="auto"/>
              <w:bottom w:val="single" w:sz="4" w:space="0" w:color="auto"/>
            </w:tcBorders>
            <w:vAlign w:val="center"/>
          </w:tcPr>
          <w:p w14:paraId="7E3635F8" w14:textId="77777777" w:rsidR="00592892" w:rsidRPr="000214A8" w:rsidRDefault="00592892" w:rsidP="0022645E">
            <w:pPr>
              <w:jc w:val="center"/>
              <w:rPr>
                <w:rFonts w:ascii="Arial" w:hAnsi="Arial" w:cs="Arial"/>
                <w:color w:val="000000" w:themeColor="text1"/>
                <w:sz w:val="18"/>
                <w:szCs w:val="18"/>
              </w:rPr>
            </w:pPr>
          </w:p>
        </w:tc>
        <w:tc>
          <w:tcPr>
            <w:tcW w:w="706" w:type="dxa"/>
            <w:tcBorders>
              <w:top w:val="single" w:sz="18" w:space="0" w:color="auto"/>
              <w:bottom w:val="single" w:sz="4" w:space="0" w:color="auto"/>
            </w:tcBorders>
            <w:vAlign w:val="center"/>
          </w:tcPr>
          <w:p w14:paraId="00C1709F" w14:textId="77777777" w:rsidR="00592892" w:rsidRPr="000214A8" w:rsidRDefault="00592892" w:rsidP="0022645E">
            <w:pPr>
              <w:jc w:val="center"/>
              <w:rPr>
                <w:rFonts w:ascii="Arial" w:hAnsi="Arial" w:cs="Arial"/>
                <w:color w:val="000000" w:themeColor="text1"/>
                <w:sz w:val="18"/>
                <w:szCs w:val="18"/>
              </w:rPr>
            </w:pPr>
          </w:p>
        </w:tc>
        <w:tc>
          <w:tcPr>
            <w:tcW w:w="699" w:type="dxa"/>
            <w:tcBorders>
              <w:top w:val="single" w:sz="18" w:space="0" w:color="auto"/>
              <w:bottom w:val="single" w:sz="4" w:space="0" w:color="auto"/>
            </w:tcBorders>
            <w:vAlign w:val="center"/>
          </w:tcPr>
          <w:p w14:paraId="180A2B40" w14:textId="77777777" w:rsidR="00592892" w:rsidRPr="000214A8" w:rsidRDefault="00592892" w:rsidP="0022645E">
            <w:pPr>
              <w:jc w:val="center"/>
              <w:rPr>
                <w:rFonts w:ascii="Arial" w:hAnsi="Arial" w:cs="Arial"/>
                <w:color w:val="000000" w:themeColor="text1"/>
                <w:sz w:val="18"/>
                <w:szCs w:val="18"/>
              </w:rPr>
            </w:pPr>
          </w:p>
        </w:tc>
        <w:tc>
          <w:tcPr>
            <w:tcW w:w="1418" w:type="dxa"/>
            <w:gridSpan w:val="2"/>
            <w:tcBorders>
              <w:top w:val="single" w:sz="18" w:space="0" w:color="auto"/>
              <w:bottom w:val="single" w:sz="4" w:space="0" w:color="auto"/>
            </w:tcBorders>
            <w:vAlign w:val="center"/>
          </w:tcPr>
          <w:p w14:paraId="3C22D1C4" w14:textId="5A0C24A8" w:rsidR="00592892" w:rsidRPr="00592892" w:rsidRDefault="00592892" w:rsidP="0022645E">
            <w:pPr>
              <w:jc w:val="center"/>
              <w:rPr>
                <w:rFonts w:ascii="Arial" w:hAnsi="Arial" w:cs="Arial"/>
                <w:color w:val="000000" w:themeColor="text1"/>
                <w:sz w:val="18"/>
                <w:szCs w:val="18"/>
              </w:rPr>
            </w:pPr>
            <w:r>
              <w:rPr>
                <w:rFonts w:ascii="Arial" w:hAnsi="Arial" w:cs="Arial"/>
                <w:color w:val="000000" w:themeColor="text1"/>
                <w:sz w:val="18"/>
                <w:szCs w:val="18"/>
              </w:rPr>
              <w:t>Apply ozonated H</w:t>
            </w:r>
            <w:r>
              <w:rPr>
                <w:rFonts w:ascii="Arial" w:hAnsi="Arial" w:cs="Arial"/>
                <w:color w:val="000000" w:themeColor="text1"/>
                <w:sz w:val="18"/>
                <w:szCs w:val="18"/>
                <w:vertAlign w:val="subscript"/>
              </w:rPr>
              <w:t>2</w:t>
            </w:r>
            <w:r>
              <w:rPr>
                <w:rFonts w:ascii="Arial" w:hAnsi="Arial" w:cs="Arial"/>
                <w:color w:val="000000" w:themeColor="text1"/>
                <w:sz w:val="18"/>
                <w:szCs w:val="18"/>
              </w:rPr>
              <w:t>O</w:t>
            </w:r>
          </w:p>
        </w:tc>
        <w:tc>
          <w:tcPr>
            <w:tcW w:w="707" w:type="dxa"/>
            <w:tcBorders>
              <w:top w:val="single" w:sz="18" w:space="0" w:color="auto"/>
            </w:tcBorders>
            <w:vAlign w:val="center"/>
          </w:tcPr>
          <w:p w14:paraId="4BEE4BE1" w14:textId="77777777" w:rsidR="00592892" w:rsidRDefault="00592892" w:rsidP="0022645E">
            <w:pPr>
              <w:jc w:val="center"/>
              <w:rPr>
                <w:rFonts w:ascii="Arial" w:hAnsi="Arial" w:cs="Arial"/>
                <w:color w:val="000000" w:themeColor="text1"/>
                <w:sz w:val="18"/>
                <w:szCs w:val="18"/>
              </w:rPr>
            </w:pPr>
          </w:p>
        </w:tc>
        <w:tc>
          <w:tcPr>
            <w:tcW w:w="709" w:type="dxa"/>
            <w:tcBorders>
              <w:top w:val="single" w:sz="18" w:space="0" w:color="auto"/>
            </w:tcBorders>
            <w:vAlign w:val="center"/>
          </w:tcPr>
          <w:p w14:paraId="0FE1E530" w14:textId="77777777" w:rsidR="00592892" w:rsidRDefault="00592892" w:rsidP="0022645E">
            <w:pPr>
              <w:jc w:val="center"/>
              <w:rPr>
                <w:rFonts w:ascii="Arial" w:hAnsi="Arial" w:cs="Arial"/>
                <w:color w:val="000000" w:themeColor="text1"/>
                <w:sz w:val="18"/>
                <w:szCs w:val="18"/>
              </w:rPr>
            </w:pPr>
          </w:p>
        </w:tc>
        <w:tc>
          <w:tcPr>
            <w:tcW w:w="708" w:type="dxa"/>
            <w:tcBorders>
              <w:top w:val="single" w:sz="18" w:space="0" w:color="auto"/>
            </w:tcBorders>
            <w:vAlign w:val="center"/>
          </w:tcPr>
          <w:p w14:paraId="1ED6138A" w14:textId="1EE82C0A" w:rsidR="00592892" w:rsidRDefault="00592892" w:rsidP="0022645E">
            <w:pPr>
              <w:jc w:val="center"/>
              <w:rPr>
                <w:rFonts w:ascii="Arial" w:hAnsi="Arial" w:cs="Arial"/>
                <w:color w:val="000000" w:themeColor="text1"/>
                <w:sz w:val="18"/>
                <w:szCs w:val="18"/>
              </w:rPr>
            </w:pPr>
          </w:p>
        </w:tc>
      </w:tr>
      <w:tr w:rsidR="00D758CE" w:rsidRPr="000214A8" w14:paraId="16A44639" w14:textId="77777777" w:rsidTr="00D758CE">
        <w:trPr>
          <w:trHeight w:val="360"/>
          <w:jc w:val="center"/>
        </w:trPr>
        <w:tc>
          <w:tcPr>
            <w:tcW w:w="829" w:type="dxa"/>
            <w:vMerge/>
          </w:tcPr>
          <w:p w14:paraId="2F239936" w14:textId="77777777" w:rsidR="00D758CE" w:rsidRPr="00D90703" w:rsidRDefault="00D758CE" w:rsidP="00A163CC">
            <w:pPr>
              <w:rPr>
                <w:rFonts w:ascii="Arial" w:hAnsi="Arial" w:cs="Arial"/>
                <w:color w:val="000000" w:themeColor="text1"/>
                <w:sz w:val="18"/>
                <w:szCs w:val="18"/>
              </w:rPr>
            </w:pPr>
          </w:p>
        </w:tc>
        <w:tc>
          <w:tcPr>
            <w:tcW w:w="705" w:type="dxa"/>
            <w:tcBorders>
              <w:top w:val="single" w:sz="4" w:space="0" w:color="auto"/>
              <w:bottom w:val="single" w:sz="4" w:space="0" w:color="auto"/>
            </w:tcBorders>
            <w:vAlign w:val="center"/>
          </w:tcPr>
          <w:p w14:paraId="03B98004" w14:textId="77777777" w:rsidR="00D758CE" w:rsidRPr="000214A8" w:rsidRDefault="00D758C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7E70D34B" w14:textId="77777777" w:rsidR="00D758CE" w:rsidRPr="000214A8" w:rsidRDefault="00D758CE" w:rsidP="0022645E">
            <w:pPr>
              <w:jc w:val="center"/>
              <w:rPr>
                <w:rFonts w:ascii="Arial" w:hAnsi="Arial" w:cs="Arial"/>
                <w:color w:val="000000" w:themeColor="text1"/>
                <w:sz w:val="18"/>
                <w:szCs w:val="18"/>
              </w:rPr>
            </w:pPr>
          </w:p>
        </w:tc>
        <w:tc>
          <w:tcPr>
            <w:tcW w:w="711" w:type="dxa"/>
            <w:tcBorders>
              <w:top w:val="single" w:sz="4" w:space="0" w:color="auto"/>
              <w:bottom w:val="single" w:sz="4" w:space="0" w:color="auto"/>
            </w:tcBorders>
            <w:vAlign w:val="center"/>
          </w:tcPr>
          <w:p w14:paraId="4966ED24" w14:textId="77777777" w:rsidR="00D758CE" w:rsidRPr="000214A8" w:rsidRDefault="00D758C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0CA45287" w14:textId="77777777" w:rsidR="00D758CE" w:rsidRPr="000214A8" w:rsidRDefault="00D758CE" w:rsidP="0022645E">
            <w:pPr>
              <w:jc w:val="center"/>
              <w:rPr>
                <w:rFonts w:ascii="Arial" w:hAnsi="Arial" w:cs="Arial"/>
                <w:color w:val="000000" w:themeColor="text1"/>
                <w:sz w:val="18"/>
                <w:szCs w:val="18"/>
              </w:rPr>
            </w:pPr>
          </w:p>
        </w:tc>
        <w:tc>
          <w:tcPr>
            <w:tcW w:w="710" w:type="dxa"/>
            <w:tcBorders>
              <w:top w:val="single" w:sz="4" w:space="0" w:color="auto"/>
              <w:bottom w:val="single" w:sz="4" w:space="0" w:color="auto"/>
            </w:tcBorders>
            <w:vAlign w:val="center"/>
          </w:tcPr>
          <w:p w14:paraId="16FEAD5B" w14:textId="77777777" w:rsidR="00D758CE" w:rsidRPr="000214A8" w:rsidRDefault="00D758C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434D4B42" w14:textId="77777777" w:rsidR="00D758CE" w:rsidRPr="000214A8" w:rsidRDefault="00D758CE" w:rsidP="0022645E">
            <w:pPr>
              <w:jc w:val="center"/>
              <w:rPr>
                <w:rFonts w:ascii="Arial" w:hAnsi="Arial" w:cs="Arial"/>
                <w:color w:val="000000" w:themeColor="text1"/>
                <w:sz w:val="18"/>
                <w:szCs w:val="18"/>
              </w:rPr>
            </w:pPr>
          </w:p>
        </w:tc>
        <w:tc>
          <w:tcPr>
            <w:tcW w:w="699" w:type="dxa"/>
            <w:tcBorders>
              <w:top w:val="single" w:sz="4" w:space="0" w:color="auto"/>
              <w:bottom w:val="single" w:sz="4" w:space="0" w:color="auto"/>
            </w:tcBorders>
            <w:vAlign w:val="center"/>
          </w:tcPr>
          <w:p w14:paraId="074CFC98" w14:textId="77777777" w:rsidR="00D758CE" w:rsidRPr="000214A8" w:rsidRDefault="00D758CE" w:rsidP="0022645E">
            <w:pPr>
              <w:jc w:val="center"/>
              <w:rPr>
                <w:rFonts w:ascii="Arial" w:hAnsi="Arial" w:cs="Arial"/>
                <w:color w:val="000000" w:themeColor="text1"/>
                <w:sz w:val="18"/>
                <w:szCs w:val="18"/>
              </w:rPr>
            </w:pPr>
          </w:p>
        </w:tc>
        <w:tc>
          <w:tcPr>
            <w:tcW w:w="712" w:type="dxa"/>
            <w:tcBorders>
              <w:top w:val="single" w:sz="4" w:space="0" w:color="auto"/>
              <w:bottom w:val="single" w:sz="4" w:space="0" w:color="auto"/>
            </w:tcBorders>
            <w:vAlign w:val="center"/>
          </w:tcPr>
          <w:p w14:paraId="2F830FFD" w14:textId="77777777" w:rsidR="00D758CE" w:rsidRPr="000214A8" w:rsidRDefault="00D758CE" w:rsidP="0022645E">
            <w:pPr>
              <w:jc w:val="center"/>
              <w:rPr>
                <w:rFonts w:ascii="Arial" w:hAnsi="Arial" w:cs="Arial"/>
                <w:color w:val="000000" w:themeColor="text1"/>
                <w:sz w:val="18"/>
                <w:szCs w:val="18"/>
              </w:rPr>
            </w:pPr>
          </w:p>
        </w:tc>
        <w:tc>
          <w:tcPr>
            <w:tcW w:w="2122" w:type="dxa"/>
            <w:gridSpan w:val="3"/>
            <w:tcBorders>
              <w:top w:val="single" w:sz="4" w:space="0" w:color="auto"/>
              <w:bottom w:val="single" w:sz="4" w:space="0" w:color="auto"/>
            </w:tcBorders>
            <w:vAlign w:val="center"/>
          </w:tcPr>
          <w:p w14:paraId="6C3DEE34" w14:textId="76C093D0" w:rsidR="00D758CE" w:rsidRDefault="00D758CE" w:rsidP="0022645E">
            <w:pPr>
              <w:jc w:val="center"/>
              <w:rPr>
                <w:rFonts w:ascii="Arial" w:hAnsi="Arial" w:cs="Arial"/>
                <w:color w:val="000000" w:themeColor="text1"/>
                <w:sz w:val="18"/>
                <w:szCs w:val="18"/>
              </w:rPr>
            </w:pPr>
            <w:r>
              <w:rPr>
                <w:rFonts w:ascii="Arial" w:hAnsi="Arial" w:cs="Arial"/>
                <w:color w:val="000000" w:themeColor="text1"/>
                <w:sz w:val="18"/>
                <w:szCs w:val="18"/>
              </w:rPr>
              <w:t>Analyze samples and controls for residues</w:t>
            </w:r>
          </w:p>
        </w:tc>
        <w:tc>
          <w:tcPr>
            <w:tcW w:w="708" w:type="dxa"/>
            <w:vAlign w:val="center"/>
          </w:tcPr>
          <w:p w14:paraId="428F8313" w14:textId="322BBCFB" w:rsidR="00D758CE" w:rsidRDefault="00D758CE" w:rsidP="0022645E">
            <w:pPr>
              <w:jc w:val="center"/>
              <w:rPr>
                <w:rFonts w:ascii="Arial" w:hAnsi="Arial" w:cs="Arial"/>
                <w:color w:val="000000" w:themeColor="text1"/>
                <w:sz w:val="18"/>
                <w:szCs w:val="18"/>
              </w:rPr>
            </w:pPr>
          </w:p>
        </w:tc>
      </w:tr>
      <w:tr w:rsidR="00D758CE" w:rsidRPr="000214A8" w14:paraId="5E51E5BF" w14:textId="77777777" w:rsidTr="001A5ACD">
        <w:trPr>
          <w:trHeight w:val="360"/>
          <w:jc w:val="center"/>
        </w:trPr>
        <w:tc>
          <w:tcPr>
            <w:tcW w:w="829" w:type="dxa"/>
            <w:vMerge/>
          </w:tcPr>
          <w:p w14:paraId="72EBC4CD" w14:textId="77777777" w:rsidR="00D758CE" w:rsidRPr="00D90703" w:rsidRDefault="00D758CE" w:rsidP="00A163CC">
            <w:pPr>
              <w:rPr>
                <w:rFonts w:ascii="Arial" w:hAnsi="Arial" w:cs="Arial"/>
                <w:color w:val="000000" w:themeColor="text1"/>
                <w:sz w:val="18"/>
                <w:szCs w:val="18"/>
              </w:rPr>
            </w:pPr>
          </w:p>
        </w:tc>
        <w:tc>
          <w:tcPr>
            <w:tcW w:w="705" w:type="dxa"/>
            <w:tcBorders>
              <w:top w:val="single" w:sz="4" w:space="0" w:color="auto"/>
              <w:bottom w:val="single" w:sz="4" w:space="0" w:color="auto"/>
            </w:tcBorders>
            <w:vAlign w:val="center"/>
          </w:tcPr>
          <w:p w14:paraId="59E9E269" w14:textId="77777777" w:rsidR="00D758CE" w:rsidRPr="000214A8" w:rsidRDefault="00D758C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7C9FAC62" w14:textId="77777777" w:rsidR="00D758CE" w:rsidRPr="000214A8" w:rsidRDefault="00D758CE" w:rsidP="0022645E">
            <w:pPr>
              <w:jc w:val="center"/>
              <w:rPr>
                <w:rFonts w:ascii="Arial" w:hAnsi="Arial" w:cs="Arial"/>
                <w:color w:val="000000" w:themeColor="text1"/>
                <w:sz w:val="18"/>
                <w:szCs w:val="18"/>
              </w:rPr>
            </w:pPr>
          </w:p>
        </w:tc>
        <w:tc>
          <w:tcPr>
            <w:tcW w:w="711" w:type="dxa"/>
            <w:tcBorders>
              <w:top w:val="single" w:sz="4" w:space="0" w:color="auto"/>
              <w:bottom w:val="single" w:sz="4" w:space="0" w:color="auto"/>
            </w:tcBorders>
            <w:vAlign w:val="center"/>
          </w:tcPr>
          <w:p w14:paraId="14A52E6E" w14:textId="77777777" w:rsidR="00D758CE" w:rsidRPr="000214A8" w:rsidRDefault="00D758C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1FF2EB22" w14:textId="77777777" w:rsidR="00D758CE" w:rsidRPr="000214A8" w:rsidRDefault="00D758CE" w:rsidP="0022645E">
            <w:pPr>
              <w:jc w:val="center"/>
              <w:rPr>
                <w:rFonts w:ascii="Arial" w:hAnsi="Arial" w:cs="Arial"/>
                <w:color w:val="000000" w:themeColor="text1"/>
                <w:sz w:val="18"/>
                <w:szCs w:val="18"/>
              </w:rPr>
            </w:pPr>
          </w:p>
        </w:tc>
        <w:tc>
          <w:tcPr>
            <w:tcW w:w="710" w:type="dxa"/>
            <w:tcBorders>
              <w:top w:val="single" w:sz="4" w:space="0" w:color="auto"/>
              <w:bottom w:val="single" w:sz="4" w:space="0" w:color="auto"/>
            </w:tcBorders>
            <w:vAlign w:val="center"/>
          </w:tcPr>
          <w:p w14:paraId="45334188" w14:textId="77777777" w:rsidR="00D758CE" w:rsidRPr="000214A8" w:rsidRDefault="00D758CE" w:rsidP="0022645E">
            <w:pPr>
              <w:jc w:val="center"/>
              <w:rPr>
                <w:rFonts w:ascii="Arial" w:hAnsi="Arial" w:cs="Arial"/>
                <w:color w:val="000000" w:themeColor="text1"/>
                <w:sz w:val="18"/>
                <w:szCs w:val="18"/>
              </w:rPr>
            </w:pPr>
          </w:p>
        </w:tc>
        <w:tc>
          <w:tcPr>
            <w:tcW w:w="706" w:type="dxa"/>
            <w:tcBorders>
              <w:top w:val="single" w:sz="4" w:space="0" w:color="auto"/>
              <w:bottom w:val="single" w:sz="4" w:space="0" w:color="auto"/>
            </w:tcBorders>
            <w:vAlign w:val="center"/>
          </w:tcPr>
          <w:p w14:paraId="5A65D180" w14:textId="77777777" w:rsidR="00D758CE" w:rsidRPr="000214A8" w:rsidRDefault="00D758CE" w:rsidP="0022645E">
            <w:pPr>
              <w:jc w:val="center"/>
              <w:rPr>
                <w:rFonts w:ascii="Arial" w:hAnsi="Arial" w:cs="Arial"/>
                <w:color w:val="000000" w:themeColor="text1"/>
                <w:sz w:val="18"/>
                <w:szCs w:val="18"/>
              </w:rPr>
            </w:pPr>
          </w:p>
        </w:tc>
        <w:tc>
          <w:tcPr>
            <w:tcW w:w="699" w:type="dxa"/>
            <w:tcBorders>
              <w:top w:val="single" w:sz="4" w:space="0" w:color="auto"/>
              <w:bottom w:val="single" w:sz="4" w:space="0" w:color="auto"/>
            </w:tcBorders>
            <w:vAlign w:val="center"/>
          </w:tcPr>
          <w:p w14:paraId="0F230634" w14:textId="77777777" w:rsidR="00D758CE" w:rsidRPr="000214A8" w:rsidRDefault="00D758CE" w:rsidP="0022645E">
            <w:pPr>
              <w:jc w:val="center"/>
              <w:rPr>
                <w:rFonts w:ascii="Arial" w:hAnsi="Arial" w:cs="Arial"/>
                <w:color w:val="000000" w:themeColor="text1"/>
                <w:sz w:val="18"/>
                <w:szCs w:val="18"/>
              </w:rPr>
            </w:pPr>
          </w:p>
        </w:tc>
        <w:tc>
          <w:tcPr>
            <w:tcW w:w="712" w:type="dxa"/>
            <w:tcBorders>
              <w:top w:val="single" w:sz="4" w:space="0" w:color="auto"/>
              <w:bottom w:val="single" w:sz="4" w:space="0" w:color="auto"/>
            </w:tcBorders>
            <w:vAlign w:val="center"/>
          </w:tcPr>
          <w:p w14:paraId="4DB19F2E" w14:textId="77777777" w:rsidR="00D758CE" w:rsidRPr="000214A8" w:rsidRDefault="00D758CE" w:rsidP="0022645E">
            <w:pPr>
              <w:jc w:val="center"/>
              <w:rPr>
                <w:rFonts w:ascii="Arial" w:hAnsi="Arial" w:cs="Arial"/>
                <w:color w:val="000000" w:themeColor="text1"/>
                <w:sz w:val="18"/>
                <w:szCs w:val="18"/>
              </w:rPr>
            </w:pPr>
          </w:p>
        </w:tc>
        <w:tc>
          <w:tcPr>
            <w:tcW w:w="2122" w:type="dxa"/>
            <w:gridSpan w:val="3"/>
            <w:tcBorders>
              <w:top w:val="single" w:sz="4" w:space="0" w:color="auto"/>
              <w:bottom w:val="single" w:sz="4" w:space="0" w:color="auto"/>
            </w:tcBorders>
            <w:vAlign w:val="center"/>
          </w:tcPr>
          <w:p w14:paraId="41F6BFE0" w14:textId="609BF276" w:rsidR="00D758CE" w:rsidRDefault="00D758CE" w:rsidP="0022645E">
            <w:pPr>
              <w:jc w:val="center"/>
              <w:rPr>
                <w:rFonts w:ascii="Arial" w:hAnsi="Arial" w:cs="Arial"/>
                <w:color w:val="000000" w:themeColor="text1"/>
                <w:sz w:val="18"/>
                <w:szCs w:val="18"/>
              </w:rPr>
            </w:pPr>
            <w:r>
              <w:rPr>
                <w:rFonts w:ascii="Arial" w:hAnsi="Arial" w:cs="Arial"/>
                <w:color w:val="000000" w:themeColor="text1"/>
                <w:sz w:val="18"/>
                <w:szCs w:val="18"/>
              </w:rPr>
              <w:t>Analyze samples and controls for brewing qualities</w:t>
            </w:r>
          </w:p>
        </w:tc>
        <w:tc>
          <w:tcPr>
            <w:tcW w:w="708" w:type="dxa"/>
            <w:tcBorders>
              <w:bottom w:val="single" w:sz="4" w:space="0" w:color="auto"/>
            </w:tcBorders>
            <w:vAlign w:val="center"/>
          </w:tcPr>
          <w:p w14:paraId="224F7BED" w14:textId="2C03A95C" w:rsidR="00D758CE" w:rsidRDefault="00D758CE" w:rsidP="0022645E">
            <w:pPr>
              <w:jc w:val="center"/>
              <w:rPr>
                <w:rFonts w:ascii="Arial" w:hAnsi="Arial" w:cs="Arial"/>
                <w:color w:val="000000" w:themeColor="text1"/>
                <w:sz w:val="18"/>
                <w:szCs w:val="18"/>
              </w:rPr>
            </w:pPr>
          </w:p>
        </w:tc>
      </w:tr>
      <w:tr w:rsidR="00E3724A" w:rsidRPr="000214A8" w14:paraId="48AEBF40" w14:textId="77777777" w:rsidTr="00D758CE">
        <w:trPr>
          <w:trHeight w:val="360"/>
          <w:jc w:val="center"/>
        </w:trPr>
        <w:tc>
          <w:tcPr>
            <w:tcW w:w="829" w:type="dxa"/>
            <w:vMerge/>
            <w:tcBorders>
              <w:bottom w:val="single" w:sz="18" w:space="0" w:color="auto"/>
            </w:tcBorders>
          </w:tcPr>
          <w:p w14:paraId="45C35D29" w14:textId="77777777" w:rsidR="00E3724A" w:rsidRPr="00D90703" w:rsidRDefault="00E3724A" w:rsidP="00A163CC">
            <w:pPr>
              <w:rPr>
                <w:rFonts w:ascii="Arial" w:hAnsi="Arial" w:cs="Arial"/>
                <w:color w:val="000000" w:themeColor="text1"/>
                <w:sz w:val="18"/>
                <w:szCs w:val="18"/>
              </w:rPr>
            </w:pPr>
          </w:p>
        </w:tc>
        <w:tc>
          <w:tcPr>
            <w:tcW w:w="705" w:type="dxa"/>
            <w:tcBorders>
              <w:top w:val="single" w:sz="4" w:space="0" w:color="auto"/>
              <w:bottom w:val="single" w:sz="18" w:space="0" w:color="auto"/>
            </w:tcBorders>
            <w:vAlign w:val="center"/>
          </w:tcPr>
          <w:p w14:paraId="72D9DA17" w14:textId="77777777" w:rsidR="00E3724A" w:rsidRPr="000214A8" w:rsidRDefault="00E3724A"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2A908949" w14:textId="77777777" w:rsidR="00E3724A" w:rsidRPr="000214A8" w:rsidRDefault="00E3724A" w:rsidP="0022645E">
            <w:pPr>
              <w:jc w:val="center"/>
              <w:rPr>
                <w:rFonts w:ascii="Arial" w:hAnsi="Arial" w:cs="Arial"/>
                <w:color w:val="000000" w:themeColor="text1"/>
                <w:sz w:val="18"/>
                <w:szCs w:val="18"/>
              </w:rPr>
            </w:pPr>
          </w:p>
        </w:tc>
        <w:tc>
          <w:tcPr>
            <w:tcW w:w="711" w:type="dxa"/>
            <w:tcBorders>
              <w:top w:val="single" w:sz="4" w:space="0" w:color="auto"/>
              <w:bottom w:val="single" w:sz="18" w:space="0" w:color="auto"/>
            </w:tcBorders>
            <w:vAlign w:val="center"/>
          </w:tcPr>
          <w:p w14:paraId="05EF82C6" w14:textId="77777777" w:rsidR="00E3724A" w:rsidRPr="000214A8" w:rsidRDefault="00E3724A"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5078A3D2" w14:textId="77777777" w:rsidR="00E3724A" w:rsidRPr="000214A8" w:rsidRDefault="00E3724A" w:rsidP="0022645E">
            <w:pPr>
              <w:jc w:val="center"/>
              <w:rPr>
                <w:rFonts w:ascii="Arial" w:hAnsi="Arial" w:cs="Arial"/>
                <w:color w:val="000000" w:themeColor="text1"/>
                <w:sz w:val="18"/>
                <w:szCs w:val="18"/>
              </w:rPr>
            </w:pPr>
          </w:p>
        </w:tc>
        <w:tc>
          <w:tcPr>
            <w:tcW w:w="710" w:type="dxa"/>
            <w:tcBorders>
              <w:top w:val="single" w:sz="4" w:space="0" w:color="auto"/>
              <w:bottom w:val="single" w:sz="18" w:space="0" w:color="auto"/>
            </w:tcBorders>
            <w:vAlign w:val="center"/>
          </w:tcPr>
          <w:p w14:paraId="3F318A7A" w14:textId="77777777" w:rsidR="00E3724A" w:rsidRPr="000214A8" w:rsidRDefault="00E3724A"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6A9A4654" w14:textId="77777777" w:rsidR="00E3724A" w:rsidRPr="000214A8" w:rsidRDefault="00E3724A" w:rsidP="0022645E">
            <w:pPr>
              <w:jc w:val="center"/>
              <w:rPr>
                <w:rFonts w:ascii="Arial" w:hAnsi="Arial" w:cs="Arial"/>
                <w:color w:val="000000" w:themeColor="text1"/>
                <w:sz w:val="18"/>
                <w:szCs w:val="18"/>
              </w:rPr>
            </w:pPr>
          </w:p>
        </w:tc>
        <w:tc>
          <w:tcPr>
            <w:tcW w:w="699" w:type="dxa"/>
            <w:tcBorders>
              <w:top w:val="single" w:sz="4" w:space="0" w:color="auto"/>
              <w:bottom w:val="single" w:sz="18" w:space="0" w:color="auto"/>
            </w:tcBorders>
            <w:vAlign w:val="center"/>
          </w:tcPr>
          <w:p w14:paraId="3B8906D1" w14:textId="77777777" w:rsidR="00E3724A" w:rsidRPr="000214A8" w:rsidRDefault="00E3724A" w:rsidP="0022645E">
            <w:pPr>
              <w:jc w:val="center"/>
              <w:rPr>
                <w:rFonts w:ascii="Arial" w:hAnsi="Arial" w:cs="Arial"/>
                <w:color w:val="000000" w:themeColor="text1"/>
                <w:sz w:val="18"/>
                <w:szCs w:val="18"/>
              </w:rPr>
            </w:pPr>
          </w:p>
        </w:tc>
        <w:tc>
          <w:tcPr>
            <w:tcW w:w="712" w:type="dxa"/>
            <w:tcBorders>
              <w:top w:val="single" w:sz="4" w:space="0" w:color="auto"/>
              <w:bottom w:val="single" w:sz="18" w:space="0" w:color="auto"/>
            </w:tcBorders>
            <w:vAlign w:val="center"/>
          </w:tcPr>
          <w:p w14:paraId="12D754E6" w14:textId="77777777" w:rsidR="00E3724A" w:rsidRPr="000214A8" w:rsidRDefault="00E3724A" w:rsidP="0022645E">
            <w:pPr>
              <w:jc w:val="center"/>
              <w:rPr>
                <w:rFonts w:ascii="Arial" w:hAnsi="Arial" w:cs="Arial"/>
                <w:color w:val="000000" w:themeColor="text1"/>
                <w:sz w:val="18"/>
                <w:szCs w:val="18"/>
              </w:rPr>
            </w:pPr>
          </w:p>
        </w:tc>
        <w:tc>
          <w:tcPr>
            <w:tcW w:w="706" w:type="dxa"/>
            <w:tcBorders>
              <w:top w:val="single" w:sz="4" w:space="0" w:color="auto"/>
              <w:bottom w:val="single" w:sz="18" w:space="0" w:color="auto"/>
            </w:tcBorders>
            <w:vAlign w:val="center"/>
          </w:tcPr>
          <w:p w14:paraId="69E0AE47" w14:textId="77777777" w:rsidR="00E3724A" w:rsidRPr="000214A8" w:rsidRDefault="00E3724A" w:rsidP="0022645E">
            <w:pPr>
              <w:jc w:val="center"/>
              <w:rPr>
                <w:rFonts w:ascii="Arial" w:hAnsi="Arial" w:cs="Arial"/>
                <w:color w:val="000000" w:themeColor="text1"/>
                <w:sz w:val="18"/>
                <w:szCs w:val="18"/>
              </w:rPr>
            </w:pPr>
          </w:p>
        </w:tc>
        <w:tc>
          <w:tcPr>
            <w:tcW w:w="2124" w:type="dxa"/>
            <w:gridSpan w:val="3"/>
            <w:tcBorders>
              <w:top w:val="single" w:sz="4" w:space="0" w:color="auto"/>
              <w:bottom w:val="single" w:sz="18" w:space="0" w:color="auto"/>
            </w:tcBorders>
            <w:vAlign w:val="center"/>
          </w:tcPr>
          <w:p w14:paraId="6B8AD8DE" w14:textId="036F3B66" w:rsidR="00E3724A" w:rsidRDefault="00D758CE" w:rsidP="0022645E">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bl>
    <w:p w14:paraId="29EB730E" w14:textId="77777777" w:rsidR="00571BB3" w:rsidRDefault="00571BB3" w:rsidP="00571BB3">
      <w:pPr>
        <w:rPr>
          <w:rFonts w:ascii="Times New Roman" w:hAnsi="Times New Roman" w:cs="Times New Roman"/>
          <w:color w:val="FF0000"/>
          <w:sz w:val="24"/>
          <w:szCs w:val="24"/>
        </w:rPr>
        <w:sectPr w:rsidR="00571BB3" w:rsidSect="006A2437">
          <w:footerReference w:type="default" r:id="rId10"/>
          <w:pgSz w:w="12240" w:h="15840"/>
          <w:pgMar w:top="1440" w:right="1440" w:bottom="1440" w:left="1440" w:header="720" w:footer="720" w:gutter="0"/>
          <w:pgNumType w:start="1"/>
          <w:cols w:space="720"/>
          <w:docGrid w:linePitch="360"/>
        </w:sectPr>
      </w:pPr>
    </w:p>
    <w:p w14:paraId="48A9ADA3" w14:textId="261AED7B" w:rsidR="00A85CF1" w:rsidRDefault="00A85CF1">
      <w:pPr>
        <w:rPr>
          <w:rFonts w:ascii="Times New Roman" w:hAnsi="Times New Roman" w:cs="Times New Roman"/>
          <w:b/>
          <w:sz w:val="24"/>
          <w:szCs w:val="24"/>
        </w:rPr>
      </w:pPr>
    </w:p>
    <w:p w14:paraId="30771FFB" w14:textId="77777777" w:rsidR="00093A74" w:rsidRPr="00093A74" w:rsidRDefault="00093A74" w:rsidP="00C66344">
      <w:pPr>
        <w:spacing w:after="0"/>
        <w:rPr>
          <w:rFonts w:ascii="Times New Roman" w:hAnsi="Times New Roman" w:cs="Times New Roman"/>
          <w:b/>
          <w:sz w:val="24"/>
          <w:szCs w:val="24"/>
        </w:rPr>
      </w:pPr>
      <w:r w:rsidRPr="00093A74">
        <w:rPr>
          <w:rFonts w:ascii="Times New Roman" w:hAnsi="Times New Roman" w:cs="Times New Roman"/>
          <w:b/>
          <w:sz w:val="24"/>
          <w:szCs w:val="24"/>
        </w:rPr>
        <w:t>Project Budget</w:t>
      </w:r>
    </w:p>
    <w:tbl>
      <w:tblPr>
        <w:tblStyle w:val="TableGrid"/>
        <w:tblW w:w="0" w:type="auto"/>
        <w:tblLook w:val="04A0" w:firstRow="1" w:lastRow="0" w:firstColumn="1" w:lastColumn="0" w:noHBand="0" w:noVBand="1"/>
      </w:tblPr>
      <w:tblGrid>
        <w:gridCol w:w="1615"/>
        <w:gridCol w:w="1710"/>
        <w:gridCol w:w="1800"/>
        <w:gridCol w:w="1710"/>
        <w:gridCol w:w="2515"/>
      </w:tblGrid>
      <w:tr w:rsidR="00D85303" w:rsidRPr="00493B13" w14:paraId="464CA70F" w14:textId="77777777" w:rsidTr="00655B8B">
        <w:tc>
          <w:tcPr>
            <w:tcW w:w="1615" w:type="dxa"/>
            <w:vMerge w:val="restart"/>
          </w:tcPr>
          <w:p w14:paraId="6512AAE3" w14:textId="77777777" w:rsidR="00D85303" w:rsidRPr="00493B13" w:rsidRDefault="00D85303" w:rsidP="00655B8B">
            <w:r w:rsidRPr="00493B13">
              <w:t>Expenditure</w:t>
            </w:r>
          </w:p>
        </w:tc>
        <w:tc>
          <w:tcPr>
            <w:tcW w:w="1710" w:type="dxa"/>
            <w:vMerge w:val="restart"/>
          </w:tcPr>
          <w:p w14:paraId="1832A3FA" w14:textId="77777777" w:rsidR="00D85303" w:rsidRPr="00493B13" w:rsidRDefault="00D85303" w:rsidP="00655B8B">
            <w:pPr>
              <w:jc w:val="center"/>
            </w:pPr>
            <w:r w:rsidRPr="00493B13">
              <w:t>Hop Research Council Request</w:t>
            </w:r>
          </w:p>
        </w:tc>
        <w:tc>
          <w:tcPr>
            <w:tcW w:w="3510" w:type="dxa"/>
            <w:gridSpan w:val="2"/>
          </w:tcPr>
          <w:p w14:paraId="69C97BAB" w14:textId="77777777" w:rsidR="00D85303" w:rsidRPr="00493B13" w:rsidRDefault="00D85303" w:rsidP="00655B8B">
            <w:r w:rsidRPr="00493B13">
              <w:t>Commission Request (specify state)</w:t>
            </w:r>
          </w:p>
        </w:tc>
        <w:tc>
          <w:tcPr>
            <w:tcW w:w="2515" w:type="dxa"/>
            <w:vMerge w:val="restart"/>
          </w:tcPr>
          <w:p w14:paraId="719A44C1" w14:textId="77777777" w:rsidR="00D85303" w:rsidRPr="00493B13" w:rsidRDefault="00D85303" w:rsidP="00655B8B">
            <w:r w:rsidRPr="00493B13">
              <w:t>Total Amount Requested</w:t>
            </w:r>
          </w:p>
        </w:tc>
      </w:tr>
      <w:tr w:rsidR="00D85303" w:rsidRPr="00493B13" w14:paraId="2F57510A" w14:textId="77777777" w:rsidTr="00655B8B">
        <w:tc>
          <w:tcPr>
            <w:tcW w:w="1615" w:type="dxa"/>
            <w:vMerge/>
          </w:tcPr>
          <w:p w14:paraId="05B1C989" w14:textId="77777777" w:rsidR="00D85303" w:rsidRPr="00493B13" w:rsidRDefault="00D85303" w:rsidP="00655B8B"/>
        </w:tc>
        <w:tc>
          <w:tcPr>
            <w:tcW w:w="1710" w:type="dxa"/>
            <w:vMerge/>
          </w:tcPr>
          <w:p w14:paraId="108D5381" w14:textId="77777777" w:rsidR="00D85303" w:rsidRPr="00493B13" w:rsidRDefault="00D85303" w:rsidP="00655B8B"/>
        </w:tc>
        <w:tc>
          <w:tcPr>
            <w:tcW w:w="1800" w:type="dxa"/>
          </w:tcPr>
          <w:p w14:paraId="18C94153" w14:textId="77777777" w:rsidR="00D85303" w:rsidRPr="00493B13" w:rsidRDefault="00D85303" w:rsidP="00655B8B">
            <w:r w:rsidRPr="00493B13">
              <w:t>State:</w:t>
            </w:r>
            <w:r w:rsidR="00492D28">
              <w:t xml:space="preserve"> WA</w:t>
            </w:r>
          </w:p>
        </w:tc>
        <w:tc>
          <w:tcPr>
            <w:tcW w:w="1710" w:type="dxa"/>
          </w:tcPr>
          <w:p w14:paraId="7BDBCF3C" w14:textId="77777777" w:rsidR="00D85303" w:rsidRPr="00493B13" w:rsidRDefault="00D85303" w:rsidP="00655B8B">
            <w:r w:rsidRPr="00493B13">
              <w:t>State:</w:t>
            </w:r>
          </w:p>
        </w:tc>
        <w:tc>
          <w:tcPr>
            <w:tcW w:w="2515" w:type="dxa"/>
            <w:vMerge/>
          </w:tcPr>
          <w:p w14:paraId="3AAA38F1" w14:textId="77777777" w:rsidR="00D85303" w:rsidRPr="00493B13" w:rsidRDefault="00D85303" w:rsidP="00655B8B"/>
        </w:tc>
      </w:tr>
      <w:tr w:rsidR="00D85303" w:rsidRPr="00493B13" w14:paraId="3E978C69" w14:textId="77777777" w:rsidTr="00655B8B">
        <w:tc>
          <w:tcPr>
            <w:tcW w:w="1615" w:type="dxa"/>
            <w:vMerge/>
          </w:tcPr>
          <w:p w14:paraId="43CCBE28" w14:textId="77777777" w:rsidR="00D85303" w:rsidRPr="00493B13" w:rsidRDefault="00D85303" w:rsidP="00655B8B"/>
        </w:tc>
        <w:tc>
          <w:tcPr>
            <w:tcW w:w="1710" w:type="dxa"/>
            <w:vMerge/>
          </w:tcPr>
          <w:p w14:paraId="20A7CFFC" w14:textId="77777777" w:rsidR="00D85303" w:rsidRPr="00493B13" w:rsidRDefault="00D85303" w:rsidP="00655B8B"/>
        </w:tc>
        <w:tc>
          <w:tcPr>
            <w:tcW w:w="1800" w:type="dxa"/>
          </w:tcPr>
          <w:p w14:paraId="60E2CD03" w14:textId="77777777" w:rsidR="00D85303" w:rsidRPr="00493B13" w:rsidRDefault="00D85303" w:rsidP="00492D28">
            <w:pPr>
              <w:jc w:val="center"/>
            </w:pPr>
            <w:r w:rsidRPr="00493B13">
              <w:t>Amount (cash)</w:t>
            </w:r>
          </w:p>
        </w:tc>
        <w:tc>
          <w:tcPr>
            <w:tcW w:w="1710" w:type="dxa"/>
          </w:tcPr>
          <w:p w14:paraId="77DFDD74" w14:textId="77777777" w:rsidR="00D85303" w:rsidRPr="00493B13" w:rsidRDefault="00D85303" w:rsidP="00655B8B">
            <w:pPr>
              <w:jc w:val="center"/>
            </w:pPr>
            <w:r w:rsidRPr="00493B13">
              <w:t>Amount (cash or in-kind)</w:t>
            </w:r>
          </w:p>
        </w:tc>
        <w:tc>
          <w:tcPr>
            <w:tcW w:w="2515" w:type="dxa"/>
            <w:vMerge/>
          </w:tcPr>
          <w:p w14:paraId="623FA486" w14:textId="77777777" w:rsidR="00D85303" w:rsidRPr="00493B13" w:rsidRDefault="00D85303" w:rsidP="00655B8B"/>
        </w:tc>
      </w:tr>
      <w:tr w:rsidR="00D85303" w:rsidRPr="00493B13" w14:paraId="2479CB7F" w14:textId="77777777" w:rsidTr="00655B8B">
        <w:tc>
          <w:tcPr>
            <w:tcW w:w="1615" w:type="dxa"/>
          </w:tcPr>
          <w:p w14:paraId="56F268EB" w14:textId="77777777" w:rsidR="00D85303" w:rsidRPr="00493B13" w:rsidRDefault="00D85303" w:rsidP="00655B8B">
            <w:pPr>
              <w:rPr>
                <w:vertAlign w:val="superscript"/>
              </w:rPr>
            </w:pPr>
            <w:r w:rsidRPr="00493B13">
              <w:t>Salaries</w:t>
            </w:r>
            <w:r w:rsidRPr="00493B13">
              <w:rPr>
                <w:vertAlign w:val="superscript"/>
              </w:rPr>
              <w:t>1</w:t>
            </w:r>
          </w:p>
        </w:tc>
        <w:tc>
          <w:tcPr>
            <w:tcW w:w="1710" w:type="dxa"/>
          </w:tcPr>
          <w:p w14:paraId="2CAFD1DE" w14:textId="627D31AA" w:rsidR="00D85303" w:rsidRPr="00493B13" w:rsidRDefault="00DF47E5" w:rsidP="00093A74">
            <w:pPr>
              <w:jc w:val="right"/>
            </w:pPr>
            <w:r>
              <w:t>11,539</w:t>
            </w:r>
          </w:p>
        </w:tc>
        <w:tc>
          <w:tcPr>
            <w:tcW w:w="1800" w:type="dxa"/>
          </w:tcPr>
          <w:p w14:paraId="70130AF6" w14:textId="538823DC" w:rsidR="00D85303" w:rsidRPr="00493B13" w:rsidRDefault="00AC6C18" w:rsidP="00093A74">
            <w:pPr>
              <w:jc w:val="right"/>
            </w:pPr>
            <w:r>
              <w:t>7,693</w:t>
            </w:r>
          </w:p>
        </w:tc>
        <w:tc>
          <w:tcPr>
            <w:tcW w:w="1710" w:type="dxa"/>
          </w:tcPr>
          <w:p w14:paraId="25986CFD" w14:textId="77777777" w:rsidR="00D85303" w:rsidRPr="00493B13" w:rsidRDefault="00D85303" w:rsidP="00093A74">
            <w:pPr>
              <w:jc w:val="right"/>
            </w:pPr>
          </w:p>
        </w:tc>
        <w:tc>
          <w:tcPr>
            <w:tcW w:w="2515" w:type="dxa"/>
          </w:tcPr>
          <w:p w14:paraId="6399F5DB" w14:textId="13B418EC" w:rsidR="00D85303" w:rsidRPr="00493B13" w:rsidRDefault="00DB2EBB" w:rsidP="00093A74">
            <w:pPr>
              <w:jc w:val="right"/>
            </w:pPr>
            <w:r>
              <w:t>19,232</w:t>
            </w:r>
          </w:p>
        </w:tc>
      </w:tr>
      <w:tr w:rsidR="00D85303" w:rsidRPr="00493B13" w14:paraId="77693E4E" w14:textId="77777777" w:rsidTr="00655B8B">
        <w:tc>
          <w:tcPr>
            <w:tcW w:w="1615" w:type="dxa"/>
          </w:tcPr>
          <w:p w14:paraId="6F80810E" w14:textId="3805B1F8" w:rsidR="00D85303" w:rsidRPr="001058D5" w:rsidRDefault="00D85303" w:rsidP="00655B8B">
            <w:pPr>
              <w:rPr>
                <w:vertAlign w:val="superscript"/>
              </w:rPr>
            </w:pPr>
            <w:r w:rsidRPr="00493B13">
              <w:t>Employee Benefits</w:t>
            </w:r>
            <w:r w:rsidR="00A54FC3">
              <w:rPr>
                <w:vertAlign w:val="superscript"/>
              </w:rPr>
              <w:t>2</w:t>
            </w:r>
          </w:p>
        </w:tc>
        <w:tc>
          <w:tcPr>
            <w:tcW w:w="1710" w:type="dxa"/>
          </w:tcPr>
          <w:p w14:paraId="669E726C" w14:textId="77777777" w:rsidR="001A60A3" w:rsidRDefault="001A60A3" w:rsidP="00093A74">
            <w:pPr>
              <w:jc w:val="right"/>
            </w:pPr>
          </w:p>
          <w:p w14:paraId="2FE3DF96" w14:textId="277659A1" w:rsidR="00DF47E5" w:rsidRPr="00493B13" w:rsidRDefault="00B03A53" w:rsidP="00093A74">
            <w:pPr>
              <w:jc w:val="right"/>
            </w:pPr>
            <w:r>
              <w:t>4,917</w:t>
            </w:r>
          </w:p>
        </w:tc>
        <w:tc>
          <w:tcPr>
            <w:tcW w:w="1800" w:type="dxa"/>
          </w:tcPr>
          <w:p w14:paraId="25D40466" w14:textId="77777777" w:rsidR="00A75901" w:rsidRDefault="00A75901" w:rsidP="00A75901">
            <w:pPr>
              <w:jc w:val="right"/>
            </w:pPr>
          </w:p>
          <w:p w14:paraId="54054DBD" w14:textId="33E9A1DB" w:rsidR="00DB2EBB" w:rsidRPr="00493B13" w:rsidRDefault="00DB2EBB" w:rsidP="00A75901">
            <w:pPr>
              <w:jc w:val="right"/>
            </w:pPr>
            <w:r>
              <w:t>3,</w:t>
            </w:r>
            <w:r w:rsidR="00B03A53">
              <w:t>278</w:t>
            </w:r>
          </w:p>
        </w:tc>
        <w:tc>
          <w:tcPr>
            <w:tcW w:w="1710" w:type="dxa"/>
          </w:tcPr>
          <w:p w14:paraId="6A843A1A" w14:textId="77777777" w:rsidR="00D85303" w:rsidRPr="00493B13" w:rsidRDefault="00D85303" w:rsidP="00093A74">
            <w:pPr>
              <w:jc w:val="right"/>
            </w:pPr>
          </w:p>
        </w:tc>
        <w:tc>
          <w:tcPr>
            <w:tcW w:w="2515" w:type="dxa"/>
          </w:tcPr>
          <w:p w14:paraId="77FB8293" w14:textId="77777777" w:rsidR="001A60A3" w:rsidRDefault="001A60A3" w:rsidP="00093A74">
            <w:pPr>
              <w:jc w:val="right"/>
            </w:pPr>
          </w:p>
          <w:p w14:paraId="6DB5ED9B" w14:textId="1FFFD29E" w:rsidR="00DB2EBB" w:rsidRPr="00493B13" w:rsidRDefault="00917415" w:rsidP="00093A74">
            <w:pPr>
              <w:jc w:val="right"/>
            </w:pPr>
            <w:r>
              <w:t>8,</w:t>
            </w:r>
            <w:r w:rsidR="00B03A53">
              <w:t>195</w:t>
            </w:r>
          </w:p>
        </w:tc>
      </w:tr>
      <w:tr w:rsidR="00D85303" w:rsidRPr="00493B13" w14:paraId="26B60BB3" w14:textId="77777777" w:rsidTr="00655B8B">
        <w:tc>
          <w:tcPr>
            <w:tcW w:w="1615" w:type="dxa"/>
          </w:tcPr>
          <w:p w14:paraId="1B881EDD" w14:textId="0E64ED2E" w:rsidR="00D85303" w:rsidRPr="00956312" w:rsidRDefault="00D85303" w:rsidP="00655B8B">
            <w:pPr>
              <w:rPr>
                <w:vertAlign w:val="superscript"/>
              </w:rPr>
            </w:pPr>
            <w:r w:rsidRPr="00493B13">
              <w:t xml:space="preserve">Temporary or hourly </w:t>
            </w:r>
            <w:r w:rsidR="00A54FC3" w:rsidRPr="00493B13">
              <w:t>workers</w:t>
            </w:r>
            <w:r w:rsidR="00A54FC3">
              <w:rPr>
                <w:vertAlign w:val="superscript"/>
              </w:rPr>
              <w:t>3</w:t>
            </w:r>
          </w:p>
        </w:tc>
        <w:tc>
          <w:tcPr>
            <w:tcW w:w="1710" w:type="dxa"/>
          </w:tcPr>
          <w:p w14:paraId="7185DC81" w14:textId="77777777" w:rsidR="001A60A3" w:rsidRDefault="001A60A3" w:rsidP="00093A74">
            <w:pPr>
              <w:jc w:val="right"/>
            </w:pPr>
          </w:p>
          <w:p w14:paraId="5C2B7856" w14:textId="77777777" w:rsidR="00917415" w:rsidRDefault="00917415" w:rsidP="00093A74">
            <w:pPr>
              <w:jc w:val="right"/>
            </w:pPr>
          </w:p>
          <w:p w14:paraId="5014C6BF" w14:textId="50EBC784" w:rsidR="00917415" w:rsidRPr="00493B13" w:rsidRDefault="00B03A53" w:rsidP="00093A74">
            <w:pPr>
              <w:jc w:val="right"/>
            </w:pPr>
            <w:r>
              <w:t>2,340</w:t>
            </w:r>
          </w:p>
        </w:tc>
        <w:tc>
          <w:tcPr>
            <w:tcW w:w="1800" w:type="dxa"/>
          </w:tcPr>
          <w:p w14:paraId="7816E52E" w14:textId="77777777" w:rsidR="001A60A3" w:rsidRDefault="001A60A3" w:rsidP="00093A74">
            <w:pPr>
              <w:jc w:val="right"/>
            </w:pPr>
          </w:p>
          <w:p w14:paraId="6DEE2A8D" w14:textId="77777777" w:rsidR="00917415" w:rsidRDefault="00917415" w:rsidP="00093A74">
            <w:pPr>
              <w:jc w:val="right"/>
            </w:pPr>
          </w:p>
          <w:p w14:paraId="48196BA5" w14:textId="0051E993" w:rsidR="00917415" w:rsidRPr="00493B13" w:rsidRDefault="00B03A53" w:rsidP="00093A74">
            <w:pPr>
              <w:jc w:val="right"/>
            </w:pPr>
            <w:r>
              <w:t>1,560</w:t>
            </w:r>
          </w:p>
        </w:tc>
        <w:tc>
          <w:tcPr>
            <w:tcW w:w="1710" w:type="dxa"/>
          </w:tcPr>
          <w:p w14:paraId="1243861D" w14:textId="77777777" w:rsidR="00D85303" w:rsidRPr="00493B13" w:rsidRDefault="00D85303" w:rsidP="00093A74">
            <w:pPr>
              <w:jc w:val="right"/>
            </w:pPr>
          </w:p>
        </w:tc>
        <w:tc>
          <w:tcPr>
            <w:tcW w:w="2515" w:type="dxa"/>
          </w:tcPr>
          <w:p w14:paraId="51CA8461" w14:textId="77777777" w:rsidR="001A60A3" w:rsidRDefault="001A60A3" w:rsidP="00093A74">
            <w:pPr>
              <w:jc w:val="right"/>
            </w:pPr>
          </w:p>
          <w:p w14:paraId="3F9FC41B" w14:textId="77777777" w:rsidR="00917415" w:rsidRDefault="00917415" w:rsidP="00093A74">
            <w:pPr>
              <w:jc w:val="right"/>
            </w:pPr>
          </w:p>
          <w:p w14:paraId="437CD2F6" w14:textId="617A5EFA" w:rsidR="00917415" w:rsidRPr="00493B13" w:rsidRDefault="00B03A53" w:rsidP="00093A74">
            <w:pPr>
              <w:jc w:val="right"/>
            </w:pPr>
            <w:r>
              <w:t>3,900</w:t>
            </w:r>
          </w:p>
        </w:tc>
      </w:tr>
      <w:tr w:rsidR="00D85303" w:rsidRPr="00493B13" w14:paraId="00764C0D" w14:textId="77777777" w:rsidTr="00655B8B">
        <w:tc>
          <w:tcPr>
            <w:tcW w:w="1615" w:type="dxa"/>
          </w:tcPr>
          <w:p w14:paraId="30EB8DD2" w14:textId="7A45093B" w:rsidR="00D85303" w:rsidRPr="00493B13" w:rsidRDefault="00A54FC3" w:rsidP="00655B8B">
            <w:pPr>
              <w:rPr>
                <w:vertAlign w:val="superscript"/>
              </w:rPr>
            </w:pPr>
            <w:r w:rsidRPr="00493B13">
              <w:t>Travel</w:t>
            </w:r>
            <w:r>
              <w:rPr>
                <w:vertAlign w:val="superscript"/>
              </w:rPr>
              <w:t>4</w:t>
            </w:r>
          </w:p>
        </w:tc>
        <w:tc>
          <w:tcPr>
            <w:tcW w:w="1710" w:type="dxa"/>
          </w:tcPr>
          <w:p w14:paraId="57AC892E" w14:textId="33E252B5" w:rsidR="00D85303" w:rsidRPr="00493B13" w:rsidRDefault="00E864C9" w:rsidP="00093A74">
            <w:pPr>
              <w:jc w:val="right"/>
            </w:pPr>
            <w:r>
              <w:t>654</w:t>
            </w:r>
          </w:p>
        </w:tc>
        <w:tc>
          <w:tcPr>
            <w:tcW w:w="1800" w:type="dxa"/>
          </w:tcPr>
          <w:p w14:paraId="11178607" w14:textId="532D0817" w:rsidR="00D85303" w:rsidRPr="00493B13" w:rsidRDefault="00E864C9" w:rsidP="00093A74">
            <w:pPr>
              <w:jc w:val="right"/>
            </w:pPr>
            <w:r>
              <w:t>436</w:t>
            </w:r>
          </w:p>
        </w:tc>
        <w:tc>
          <w:tcPr>
            <w:tcW w:w="1710" w:type="dxa"/>
          </w:tcPr>
          <w:p w14:paraId="4E7D65A0" w14:textId="77777777" w:rsidR="00D85303" w:rsidRPr="00493B13" w:rsidRDefault="00D85303" w:rsidP="00093A74">
            <w:pPr>
              <w:jc w:val="right"/>
            </w:pPr>
          </w:p>
        </w:tc>
        <w:tc>
          <w:tcPr>
            <w:tcW w:w="2515" w:type="dxa"/>
          </w:tcPr>
          <w:p w14:paraId="3BB095F9" w14:textId="4FFD85B4" w:rsidR="00D85303" w:rsidRPr="00493B13" w:rsidRDefault="00E864C9" w:rsidP="00093A74">
            <w:pPr>
              <w:jc w:val="right"/>
            </w:pPr>
            <w:r>
              <w:t>1,090</w:t>
            </w:r>
          </w:p>
        </w:tc>
      </w:tr>
      <w:tr w:rsidR="002F2BB4" w:rsidRPr="00493B13" w14:paraId="4C2EA165" w14:textId="77777777" w:rsidTr="001058D5">
        <w:tc>
          <w:tcPr>
            <w:tcW w:w="1615" w:type="dxa"/>
          </w:tcPr>
          <w:p w14:paraId="555032FD" w14:textId="77777777" w:rsidR="002F2BB4" w:rsidRPr="00493B13" w:rsidRDefault="002F2BB4" w:rsidP="00655B8B">
            <w:r w:rsidRPr="00493B13">
              <w:t>USA Hop Convention Registration</w:t>
            </w:r>
          </w:p>
        </w:tc>
        <w:tc>
          <w:tcPr>
            <w:tcW w:w="7735" w:type="dxa"/>
            <w:gridSpan w:val="4"/>
            <w:vAlign w:val="center"/>
          </w:tcPr>
          <w:p w14:paraId="5FE76C32" w14:textId="0579B8C9" w:rsidR="002F2BB4" w:rsidRPr="001058D5" w:rsidRDefault="002F2BB4" w:rsidP="001058D5">
            <w:pPr>
              <w:jc w:val="center"/>
              <w:rPr>
                <w:i/>
                <w:iCs/>
              </w:rPr>
            </w:pPr>
            <w:r w:rsidRPr="001058D5">
              <w:rPr>
                <w:i/>
                <w:iCs/>
              </w:rPr>
              <w:t>Covered by companion (spider mite) proposal</w:t>
            </w:r>
          </w:p>
        </w:tc>
      </w:tr>
      <w:tr w:rsidR="00D85303" w:rsidRPr="00493B13" w14:paraId="67FC08AD" w14:textId="77777777" w:rsidTr="00655B8B">
        <w:tc>
          <w:tcPr>
            <w:tcW w:w="1615" w:type="dxa"/>
          </w:tcPr>
          <w:p w14:paraId="33F28CF0" w14:textId="5D2D3389" w:rsidR="00D85303" w:rsidRPr="00493B13" w:rsidRDefault="003719E4" w:rsidP="00655B8B">
            <w:r>
              <w:t>Pesticide Residue Tests</w:t>
            </w:r>
          </w:p>
        </w:tc>
        <w:tc>
          <w:tcPr>
            <w:tcW w:w="1710" w:type="dxa"/>
          </w:tcPr>
          <w:p w14:paraId="037A448C" w14:textId="77777777" w:rsidR="00D85303" w:rsidRDefault="00D85303" w:rsidP="00093A74">
            <w:pPr>
              <w:jc w:val="right"/>
            </w:pPr>
          </w:p>
          <w:p w14:paraId="7B15A694" w14:textId="31DA87CE" w:rsidR="003719E4" w:rsidRPr="00493B13" w:rsidRDefault="009E4E7D" w:rsidP="00093A74">
            <w:pPr>
              <w:jc w:val="right"/>
            </w:pPr>
            <w:r>
              <w:t>2,400</w:t>
            </w:r>
          </w:p>
        </w:tc>
        <w:tc>
          <w:tcPr>
            <w:tcW w:w="1800" w:type="dxa"/>
          </w:tcPr>
          <w:p w14:paraId="294D0465" w14:textId="77777777" w:rsidR="00D85303" w:rsidRDefault="00D85303" w:rsidP="00093A74">
            <w:pPr>
              <w:jc w:val="right"/>
            </w:pPr>
          </w:p>
          <w:p w14:paraId="08A48257" w14:textId="63496273" w:rsidR="009E4E7D" w:rsidRPr="00493B13" w:rsidRDefault="009E4E7D" w:rsidP="00093A74">
            <w:pPr>
              <w:jc w:val="right"/>
            </w:pPr>
            <w:r>
              <w:t>1,600</w:t>
            </w:r>
          </w:p>
        </w:tc>
        <w:tc>
          <w:tcPr>
            <w:tcW w:w="1710" w:type="dxa"/>
          </w:tcPr>
          <w:p w14:paraId="2A28FFC6" w14:textId="77777777" w:rsidR="00D85303" w:rsidRPr="00493B13" w:rsidRDefault="00D85303" w:rsidP="00093A74">
            <w:pPr>
              <w:jc w:val="right"/>
            </w:pPr>
          </w:p>
        </w:tc>
        <w:tc>
          <w:tcPr>
            <w:tcW w:w="2515" w:type="dxa"/>
          </w:tcPr>
          <w:p w14:paraId="30E7FB5E" w14:textId="77777777" w:rsidR="00D85303" w:rsidRDefault="00D85303" w:rsidP="00093A74">
            <w:pPr>
              <w:jc w:val="right"/>
            </w:pPr>
          </w:p>
          <w:p w14:paraId="01E9234E" w14:textId="0FF61004" w:rsidR="009E4E7D" w:rsidRPr="00493B13" w:rsidRDefault="009E4E7D" w:rsidP="00093A74">
            <w:pPr>
              <w:jc w:val="right"/>
            </w:pPr>
            <w:r>
              <w:t>4,000</w:t>
            </w:r>
          </w:p>
        </w:tc>
      </w:tr>
      <w:tr w:rsidR="00D85303" w:rsidRPr="00493B13" w14:paraId="5ED5B15A" w14:textId="77777777" w:rsidTr="00655B8B">
        <w:tc>
          <w:tcPr>
            <w:tcW w:w="1615" w:type="dxa"/>
          </w:tcPr>
          <w:p w14:paraId="4AE5CE88" w14:textId="5BB56EF8" w:rsidR="00D85303" w:rsidRPr="00956312" w:rsidRDefault="00A54FC3" w:rsidP="00655B8B">
            <w:pPr>
              <w:rPr>
                <w:vertAlign w:val="superscript"/>
              </w:rPr>
            </w:pPr>
            <w:r>
              <w:t>Supplies</w:t>
            </w:r>
            <w:r>
              <w:rPr>
                <w:vertAlign w:val="superscript"/>
              </w:rPr>
              <w:t>5</w:t>
            </w:r>
          </w:p>
        </w:tc>
        <w:tc>
          <w:tcPr>
            <w:tcW w:w="1710" w:type="dxa"/>
          </w:tcPr>
          <w:p w14:paraId="6D3127A5" w14:textId="3229767D" w:rsidR="00D85303" w:rsidRPr="00493B13" w:rsidRDefault="002F7B93" w:rsidP="00093A74">
            <w:pPr>
              <w:jc w:val="right"/>
            </w:pPr>
            <w:r>
              <w:t>2,400</w:t>
            </w:r>
          </w:p>
        </w:tc>
        <w:tc>
          <w:tcPr>
            <w:tcW w:w="1800" w:type="dxa"/>
          </w:tcPr>
          <w:p w14:paraId="11CAE8E5" w14:textId="76ADAB1E" w:rsidR="00D85303" w:rsidRPr="00493B13" w:rsidRDefault="00AD1A3A" w:rsidP="00093A74">
            <w:pPr>
              <w:jc w:val="right"/>
            </w:pPr>
            <w:r>
              <w:t>1,600</w:t>
            </w:r>
          </w:p>
        </w:tc>
        <w:tc>
          <w:tcPr>
            <w:tcW w:w="1710" w:type="dxa"/>
          </w:tcPr>
          <w:p w14:paraId="305547B9" w14:textId="77777777" w:rsidR="00D85303" w:rsidRPr="00493B13" w:rsidRDefault="00D85303" w:rsidP="00093A74">
            <w:pPr>
              <w:jc w:val="right"/>
            </w:pPr>
          </w:p>
        </w:tc>
        <w:tc>
          <w:tcPr>
            <w:tcW w:w="2515" w:type="dxa"/>
          </w:tcPr>
          <w:p w14:paraId="52AD5654" w14:textId="0DE6F778" w:rsidR="00D85303" w:rsidRPr="00493B13" w:rsidRDefault="002F7B93" w:rsidP="00093A74">
            <w:pPr>
              <w:jc w:val="right"/>
            </w:pPr>
            <w:r>
              <w:t>4,000</w:t>
            </w:r>
          </w:p>
        </w:tc>
      </w:tr>
      <w:tr w:rsidR="00D85303" w:rsidRPr="00493B13" w14:paraId="60E0054F" w14:textId="77777777" w:rsidTr="00655B8B">
        <w:tc>
          <w:tcPr>
            <w:tcW w:w="1615" w:type="dxa"/>
          </w:tcPr>
          <w:p w14:paraId="4701A58F" w14:textId="77777777" w:rsidR="00D85303" w:rsidRPr="00493B13" w:rsidRDefault="00D85303" w:rsidP="00655B8B">
            <w:r w:rsidRPr="00493B13">
              <w:t>Total</w:t>
            </w:r>
          </w:p>
        </w:tc>
        <w:tc>
          <w:tcPr>
            <w:tcW w:w="1710" w:type="dxa"/>
          </w:tcPr>
          <w:p w14:paraId="25392CF4" w14:textId="6E3ABA36" w:rsidR="00D85303" w:rsidRPr="00493B13" w:rsidRDefault="00167AE1" w:rsidP="00093A74">
            <w:pPr>
              <w:jc w:val="right"/>
            </w:pPr>
            <w:r>
              <w:t>2</w:t>
            </w:r>
            <w:r w:rsidR="00501FB1">
              <w:t>4,250</w:t>
            </w:r>
          </w:p>
        </w:tc>
        <w:tc>
          <w:tcPr>
            <w:tcW w:w="1800" w:type="dxa"/>
          </w:tcPr>
          <w:p w14:paraId="1D7E437E" w14:textId="5E068CD2" w:rsidR="00D85303" w:rsidRPr="00493B13" w:rsidRDefault="00501FB1" w:rsidP="00093A74">
            <w:pPr>
              <w:jc w:val="right"/>
            </w:pPr>
            <w:r>
              <w:t>16,167</w:t>
            </w:r>
          </w:p>
        </w:tc>
        <w:tc>
          <w:tcPr>
            <w:tcW w:w="1710" w:type="dxa"/>
          </w:tcPr>
          <w:p w14:paraId="0FEFEAC1" w14:textId="77777777" w:rsidR="00D85303" w:rsidRPr="00493B13" w:rsidRDefault="00D85303" w:rsidP="00093A74">
            <w:pPr>
              <w:jc w:val="right"/>
            </w:pPr>
          </w:p>
        </w:tc>
        <w:tc>
          <w:tcPr>
            <w:tcW w:w="2515" w:type="dxa"/>
          </w:tcPr>
          <w:p w14:paraId="020DA783" w14:textId="3C554103" w:rsidR="00D85303" w:rsidRPr="00493B13" w:rsidRDefault="00B03A53" w:rsidP="00093A74">
            <w:pPr>
              <w:jc w:val="right"/>
            </w:pPr>
            <w:r>
              <w:t>40,417</w:t>
            </w:r>
          </w:p>
        </w:tc>
      </w:tr>
    </w:tbl>
    <w:p w14:paraId="0D3894CD" w14:textId="77777777" w:rsidR="00D85303" w:rsidRDefault="00D85303" w:rsidP="00EA531E">
      <w:pPr>
        <w:pStyle w:val="manualcc"/>
        <w:ind w:left="180" w:hanging="180"/>
        <w:rPr>
          <w:sz w:val="20"/>
          <w:vertAlign w:val="superscript"/>
        </w:rPr>
      </w:pPr>
    </w:p>
    <w:p w14:paraId="633786BE" w14:textId="70A1BA97" w:rsidR="00956312" w:rsidRDefault="00956312" w:rsidP="00956312">
      <w:pPr>
        <w:pStyle w:val="manualcc"/>
        <w:ind w:left="180" w:hanging="180"/>
        <w:rPr>
          <w:sz w:val="20"/>
        </w:rPr>
      </w:pPr>
      <w:r w:rsidRPr="00956312">
        <w:rPr>
          <w:sz w:val="20"/>
          <w:vertAlign w:val="superscript"/>
        </w:rPr>
        <w:t>1</w:t>
      </w:r>
      <w:r>
        <w:rPr>
          <w:sz w:val="20"/>
        </w:rPr>
        <w:t xml:space="preserve"> </w:t>
      </w:r>
      <w:r>
        <w:rPr>
          <w:sz w:val="20"/>
        </w:rPr>
        <w:tab/>
      </w:r>
      <w:r w:rsidR="00EE2A9C" w:rsidRPr="00EE2A9C">
        <w:rPr>
          <w:sz w:val="20"/>
        </w:rPr>
        <w:t>Hop Research Manager</w:t>
      </w:r>
      <w:r w:rsidR="00EE2A9C">
        <w:rPr>
          <w:sz w:val="20"/>
        </w:rPr>
        <w:t>,</w:t>
      </w:r>
      <w:r w:rsidR="00EE2A9C">
        <w:rPr>
          <w:sz w:val="20"/>
          <w:vertAlign w:val="superscript"/>
        </w:rPr>
        <w:t xml:space="preserve"> </w:t>
      </w:r>
      <w:r w:rsidR="00EE2A9C">
        <w:rPr>
          <w:sz w:val="20"/>
        </w:rPr>
        <w:t xml:space="preserve">Dan Groenendale </w:t>
      </w:r>
      <w:r w:rsidR="00D85303">
        <w:rPr>
          <w:sz w:val="20"/>
        </w:rPr>
        <w:t>at 0.</w:t>
      </w:r>
      <w:r w:rsidR="00EE2A9C">
        <w:rPr>
          <w:sz w:val="20"/>
        </w:rPr>
        <w:t>1</w:t>
      </w:r>
      <w:r w:rsidR="008A0DE7">
        <w:rPr>
          <w:sz w:val="20"/>
        </w:rPr>
        <w:t>0</w:t>
      </w:r>
      <w:r w:rsidR="00D85303">
        <w:rPr>
          <w:sz w:val="20"/>
        </w:rPr>
        <w:t xml:space="preserve"> FTE </w:t>
      </w:r>
      <w:r w:rsidR="00443B55">
        <w:rPr>
          <w:sz w:val="20"/>
        </w:rPr>
        <w:t xml:space="preserve">(60% HRC &amp; 40% WHC) </w:t>
      </w:r>
      <w:r>
        <w:rPr>
          <w:sz w:val="20"/>
        </w:rPr>
        <w:t>is $</w:t>
      </w:r>
      <w:r w:rsidR="00A54FC3">
        <w:rPr>
          <w:sz w:val="20"/>
        </w:rPr>
        <w:t>7,582</w:t>
      </w:r>
      <w:r w:rsidR="00443B55">
        <w:rPr>
          <w:sz w:val="20"/>
        </w:rPr>
        <w:t>.</w:t>
      </w:r>
    </w:p>
    <w:p w14:paraId="4EB13292" w14:textId="79D3943B" w:rsidR="00EA531E" w:rsidRPr="004A35E7" w:rsidRDefault="00956312" w:rsidP="00956312">
      <w:pPr>
        <w:pStyle w:val="manualcc"/>
        <w:ind w:left="180"/>
        <w:rPr>
          <w:color w:val="E36C0A"/>
          <w:sz w:val="20"/>
        </w:rPr>
      </w:pPr>
      <w:r>
        <w:rPr>
          <w:sz w:val="20"/>
        </w:rPr>
        <w:t xml:space="preserve">Lab Manager, </w:t>
      </w:r>
      <w:r w:rsidR="00EA531E" w:rsidRPr="00F744CF">
        <w:rPr>
          <w:sz w:val="20"/>
        </w:rPr>
        <w:t>Deborah Brooks</w:t>
      </w:r>
      <w:r>
        <w:rPr>
          <w:sz w:val="20"/>
        </w:rPr>
        <w:t xml:space="preserve"> at</w:t>
      </w:r>
      <w:r w:rsidR="00EA531E" w:rsidRPr="00F744CF">
        <w:rPr>
          <w:sz w:val="20"/>
        </w:rPr>
        <w:t xml:space="preserve"> </w:t>
      </w:r>
      <w:r w:rsidR="00D85303">
        <w:rPr>
          <w:sz w:val="20"/>
        </w:rPr>
        <w:t>0.</w:t>
      </w:r>
      <w:r>
        <w:rPr>
          <w:sz w:val="20"/>
        </w:rPr>
        <w:t>25</w:t>
      </w:r>
      <w:r w:rsidR="00D85303">
        <w:rPr>
          <w:sz w:val="20"/>
        </w:rPr>
        <w:t xml:space="preserve"> FTE </w:t>
      </w:r>
      <w:r w:rsidR="00443B55">
        <w:rPr>
          <w:sz w:val="20"/>
        </w:rPr>
        <w:t xml:space="preserve">(60% HRC &amp; 40% WHC) </w:t>
      </w:r>
      <w:r>
        <w:rPr>
          <w:sz w:val="20"/>
        </w:rPr>
        <w:t>is $</w:t>
      </w:r>
      <w:r w:rsidR="00A54FC3">
        <w:rPr>
          <w:sz w:val="20"/>
        </w:rPr>
        <w:t>11,650</w:t>
      </w:r>
      <w:r w:rsidR="00443B55">
        <w:rPr>
          <w:sz w:val="20"/>
        </w:rPr>
        <w:t xml:space="preserve"> </w:t>
      </w:r>
    </w:p>
    <w:p w14:paraId="453207FC" w14:textId="03626FAE" w:rsidR="00A54FC3" w:rsidRPr="004A35E7" w:rsidRDefault="00A54FC3" w:rsidP="001058D5">
      <w:pPr>
        <w:pStyle w:val="manualcc"/>
        <w:ind w:left="180" w:hanging="180"/>
        <w:rPr>
          <w:color w:val="E36C0A"/>
          <w:sz w:val="20"/>
        </w:rPr>
      </w:pPr>
      <w:r>
        <w:rPr>
          <w:sz w:val="20"/>
          <w:vertAlign w:val="superscript"/>
        </w:rPr>
        <w:t>2</w:t>
      </w:r>
      <w:r>
        <w:rPr>
          <w:sz w:val="20"/>
        </w:rPr>
        <w:t xml:space="preserve"> </w:t>
      </w:r>
      <w:r>
        <w:rPr>
          <w:sz w:val="20"/>
        </w:rPr>
        <w:tab/>
        <w:t>Groenendale benefits @ 33.2% is $2,511; Brooks @ 45.44% is $5,294; student (below) @ 10% is $</w:t>
      </w:r>
      <w:r w:rsidR="00B03A53">
        <w:rPr>
          <w:sz w:val="20"/>
        </w:rPr>
        <w:t>390</w:t>
      </w:r>
      <w:r>
        <w:rPr>
          <w:sz w:val="20"/>
        </w:rPr>
        <w:t xml:space="preserve"> </w:t>
      </w:r>
    </w:p>
    <w:p w14:paraId="084713D8" w14:textId="5F2A48A2" w:rsidR="00662D1A" w:rsidRDefault="00956312" w:rsidP="00956312">
      <w:pPr>
        <w:pStyle w:val="manualcc"/>
        <w:ind w:left="180" w:hanging="180"/>
        <w:rPr>
          <w:sz w:val="20"/>
        </w:rPr>
      </w:pPr>
      <w:r>
        <w:rPr>
          <w:sz w:val="20"/>
          <w:vertAlign w:val="superscript"/>
        </w:rPr>
        <w:t>2</w:t>
      </w:r>
      <w:r>
        <w:rPr>
          <w:sz w:val="20"/>
          <w:vertAlign w:val="superscript"/>
        </w:rPr>
        <w:tab/>
      </w:r>
      <w:r>
        <w:rPr>
          <w:sz w:val="20"/>
        </w:rPr>
        <w:t>Undergraduate student summer wages</w:t>
      </w:r>
      <w:r w:rsidRPr="00F744CF">
        <w:rPr>
          <w:sz w:val="20"/>
        </w:rPr>
        <w:t xml:space="preserve"> (</w:t>
      </w:r>
      <w:r>
        <w:rPr>
          <w:sz w:val="20"/>
        </w:rPr>
        <w:t xml:space="preserve">20 </w:t>
      </w:r>
      <w:proofErr w:type="spellStart"/>
      <w:r w:rsidRPr="00F744CF">
        <w:rPr>
          <w:sz w:val="20"/>
        </w:rPr>
        <w:t>hrs</w:t>
      </w:r>
      <w:proofErr w:type="spellEnd"/>
      <w:r w:rsidRPr="00F744CF">
        <w:rPr>
          <w:sz w:val="20"/>
        </w:rPr>
        <w:t>/</w:t>
      </w:r>
      <w:proofErr w:type="spellStart"/>
      <w:r w:rsidRPr="00F744CF">
        <w:rPr>
          <w:sz w:val="20"/>
        </w:rPr>
        <w:t>wk</w:t>
      </w:r>
      <w:proofErr w:type="spellEnd"/>
      <w:r w:rsidRPr="00F744CF">
        <w:rPr>
          <w:sz w:val="20"/>
        </w:rPr>
        <w:t xml:space="preserve"> for </w:t>
      </w:r>
      <w:r>
        <w:rPr>
          <w:sz w:val="20"/>
        </w:rPr>
        <w:t>13</w:t>
      </w:r>
      <w:r w:rsidRPr="00F744CF">
        <w:rPr>
          <w:sz w:val="20"/>
        </w:rPr>
        <w:t xml:space="preserve"> weeks @ $</w:t>
      </w:r>
      <w:r w:rsidR="0076559C">
        <w:rPr>
          <w:sz w:val="20"/>
        </w:rPr>
        <w:t>15</w:t>
      </w:r>
      <w:r>
        <w:rPr>
          <w:sz w:val="20"/>
        </w:rPr>
        <w:t>/</w:t>
      </w:r>
      <w:proofErr w:type="spellStart"/>
      <w:r>
        <w:rPr>
          <w:sz w:val="20"/>
        </w:rPr>
        <w:t>hr</w:t>
      </w:r>
      <w:proofErr w:type="spellEnd"/>
      <w:r w:rsidRPr="00F744CF">
        <w:rPr>
          <w:sz w:val="20"/>
        </w:rPr>
        <w:t>)</w:t>
      </w:r>
      <w:r w:rsidR="00A54FC3">
        <w:rPr>
          <w:sz w:val="20"/>
        </w:rPr>
        <w:t xml:space="preserve"> </w:t>
      </w:r>
      <w:r>
        <w:rPr>
          <w:sz w:val="20"/>
        </w:rPr>
        <w:t>is $</w:t>
      </w:r>
      <w:r w:rsidR="00B03A53">
        <w:rPr>
          <w:sz w:val="20"/>
        </w:rPr>
        <w:t>3,900</w:t>
      </w:r>
    </w:p>
    <w:p w14:paraId="29D0FA72" w14:textId="25189943" w:rsidR="00EA531E" w:rsidRPr="004A35E7" w:rsidRDefault="00956312" w:rsidP="00EA531E">
      <w:pPr>
        <w:pStyle w:val="manualcc"/>
        <w:ind w:left="180" w:hanging="180"/>
        <w:rPr>
          <w:color w:val="E36C0A"/>
          <w:sz w:val="20"/>
        </w:rPr>
      </w:pPr>
      <w:r>
        <w:rPr>
          <w:sz w:val="20"/>
          <w:vertAlign w:val="superscript"/>
        </w:rPr>
        <w:t>3</w:t>
      </w:r>
      <w:r w:rsidR="00EA531E" w:rsidRPr="00F744CF">
        <w:rPr>
          <w:sz w:val="20"/>
          <w:vertAlign w:val="superscript"/>
        </w:rPr>
        <w:t xml:space="preserve"> </w:t>
      </w:r>
      <w:r w:rsidR="00EA531E" w:rsidRPr="00F744CF">
        <w:rPr>
          <w:sz w:val="20"/>
        </w:rPr>
        <w:t xml:space="preserve">Travel is </w:t>
      </w:r>
      <w:r w:rsidR="00EA531E">
        <w:rPr>
          <w:sz w:val="20"/>
        </w:rPr>
        <w:t>for local project mileage</w:t>
      </w:r>
      <w:r w:rsidR="00B016D4">
        <w:rPr>
          <w:sz w:val="20"/>
        </w:rPr>
        <w:t xml:space="preserve"> 2</w:t>
      </w:r>
      <w:r>
        <w:rPr>
          <w:sz w:val="20"/>
        </w:rPr>
        <w:t>,000</w:t>
      </w:r>
      <w:r w:rsidR="00D85303">
        <w:rPr>
          <w:sz w:val="20"/>
        </w:rPr>
        <w:t xml:space="preserve"> Miles @ $0.5</w:t>
      </w:r>
      <w:r>
        <w:rPr>
          <w:sz w:val="20"/>
        </w:rPr>
        <w:t>45</w:t>
      </w:r>
      <w:r w:rsidR="00B016D4">
        <w:rPr>
          <w:sz w:val="20"/>
        </w:rPr>
        <w:t>/mi</w:t>
      </w:r>
      <w:r w:rsidR="00EA531E">
        <w:rPr>
          <w:sz w:val="20"/>
        </w:rPr>
        <w:t xml:space="preserve"> ($</w:t>
      </w:r>
      <w:r>
        <w:rPr>
          <w:sz w:val="20"/>
        </w:rPr>
        <w:t>1,090</w:t>
      </w:r>
      <w:r w:rsidR="00EA531E">
        <w:rPr>
          <w:sz w:val="20"/>
        </w:rPr>
        <w:t xml:space="preserve">). </w:t>
      </w:r>
    </w:p>
    <w:p w14:paraId="06C0F2B3" w14:textId="256A75AF" w:rsidR="00996B17" w:rsidRDefault="00956312" w:rsidP="00EA531E">
      <w:pPr>
        <w:pStyle w:val="manualcc"/>
        <w:ind w:left="180" w:hanging="180"/>
        <w:rPr>
          <w:sz w:val="20"/>
        </w:rPr>
      </w:pPr>
      <w:r>
        <w:rPr>
          <w:sz w:val="20"/>
          <w:vertAlign w:val="superscript"/>
        </w:rPr>
        <w:t>4</w:t>
      </w:r>
      <w:r w:rsidR="00EA531E" w:rsidRPr="00F744CF">
        <w:rPr>
          <w:sz w:val="20"/>
          <w:vertAlign w:val="superscript"/>
        </w:rPr>
        <w:t xml:space="preserve"> </w:t>
      </w:r>
      <w:r w:rsidR="00EA531E" w:rsidRPr="00885C49">
        <w:rPr>
          <w:sz w:val="20"/>
        </w:rPr>
        <w:tab/>
      </w:r>
      <w:r w:rsidR="00BB10B9" w:rsidRPr="00885C49">
        <w:rPr>
          <w:sz w:val="20"/>
        </w:rPr>
        <w:t>Land fees $900</w:t>
      </w:r>
      <w:r w:rsidR="00885C49">
        <w:rPr>
          <w:sz w:val="20"/>
        </w:rPr>
        <w:t>, maintenance pesticides $1,400</w:t>
      </w:r>
      <w:r w:rsidR="0065545E">
        <w:rPr>
          <w:sz w:val="20"/>
        </w:rPr>
        <w:t xml:space="preserve">, </w:t>
      </w:r>
      <w:r w:rsidR="00B03A53">
        <w:rPr>
          <w:sz w:val="20"/>
        </w:rPr>
        <w:t>and m</w:t>
      </w:r>
      <w:r w:rsidR="00AB2D8E" w:rsidRPr="00885C49">
        <w:rPr>
          <w:sz w:val="20"/>
        </w:rPr>
        <w:t>iscellaneous</w:t>
      </w:r>
      <w:r w:rsidR="00AB2D8E">
        <w:rPr>
          <w:sz w:val="20"/>
        </w:rPr>
        <w:t xml:space="preserve"> </w:t>
      </w:r>
      <w:r w:rsidR="0065545E">
        <w:rPr>
          <w:sz w:val="20"/>
        </w:rPr>
        <w:t xml:space="preserve">lab </w:t>
      </w:r>
      <w:r w:rsidR="00AB2D8E">
        <w:rPr>
          <w:sz w:val="20"/>
        </w:rPr>
        <w:t>supplies $</w:t>
      </w:r>
      <w:r w:rsidR="0065545E">
        <w:rPr>
          <w:sz w:val="20"/>
        </w:rPr>
        <w:t>1,700</w:t>
      </w:r>
    </w:p>
    <w:p w14:paraId="5E79232C" w14:textId="77777777" w:rsidR="00792F01" w:rsidRDefault="00792F01" w:rsidP="00EA531E">
      <w:pPr>
        <w:pStyle w:val="manualcc"/>
        <w:ind w:left="180" w:hanging="180"/>
        <w:rPr>
          <w:rFonts w:ascii="Times New Roman" w:hAnsi="Times New Roman"/>
          <w:b/>
          <w:sz w:val="24"/>
          <w:szCs w:val="24"/>
        </w:rPr>
      </w:pPr>
    </w:p>
    <w:p w14:paraId="024ABE3C" w14:textId="77777777" w:rsidR="00F0429F" w:rsidRDefault="00F0429F" w:rsidP="00F0429F">
      <w:pPr>
        <w:pStyle w:val="manualcc"/>
        <w:ind w:left="180" w:hanging="180"/>
        <w:rPr>
          <w:rFonts w:ascii="Times New Roman" w:hAnsi="Times New Roman"/>
          <w:b/>
          <w:sz w:val="24"/>
          <w:szCs w:val="24"/>
        </w:rPr>
      </w:pPr>
      <w:r>
        <w:rPr>
          <w:rFonts w:ascii="Times New Roman" w:hAnsi="Times New Roman"/>
          <w:b/>
          <w:sz w:val="24"/>
          <w:szCs w:val="24"/>
        </w:rPr>
        <w:t>Publications since 2021 proposal was submitted</w:t>
      </w:r>
    </w:p>
    <w:p w14:paraId="0870BDA5" w14:textId="77777777" w:rsidR="00F0429F" w:rsidRPr="00652E67" w:rsidRDefault="00F0429F" w:rsidP="00F0429F">
      <w:pPr>
        <w:pStyle w:val="manualcc"/>
        <w:ind w:left="180" w:hanging="180"/>
        <w:rPr>
          <w:rFonts w:ascii="Times New Roman" w:hAnsi="Times New Roman"/>
          <w:sz w:val="20"/>
        </w:rPr>
      </w:pPr>
      <w:r w:rsidRPr="003F6031">
        <w:rPr>
          <w:rFonts w:ascii="Times New Roman" w:hAnsi="Times New Roman"/>
          <w:sz w:val="20"/>
        </w:rPr>
        <w:t xml:space="preserve">1. </w:t>
      </w:r>
      <w:r w:rsidRPr="00652E67">
        <w:rPr>
          <w:rFonts w:ascii="Times New Roman" w:hAnsi="Times New Roman"/>
          <w:sz w:val="20"/>
        </w:rPr>
        <w:t xml:space="preserve">Henning, J.A., M.S. Townsend, D.H Gent, M. Wiseman, D. Walsh, D. Groenendale and A. Randazzo </w:t>
      </w:r>
    </w:p>
    <w:p w14:paraId="68281F1C" w14:textId="1A270BA5" w:rsidR="00F0429F" w:rsidRPr="00652E67" w:rsidRDefault="00F0429F" w:rsidP="00F0429F">
      <w:pPr>
        <w:pStyle w:val="manualcc"/>
        <w:ind w:left="720"/>
        <w:rPr>
          <w:rFonts w:ascii="Times New Roman" w:hAnsi="Times New Roman"/>
          <w:sz w:val="20"/>
        </w:rPr>
      </w:pPr>
      <w:r w:rsidRPr="00652E67">
        <w:rPr>
          <w:rFonts w:ascii="Times New Roman" w:hAnsi="Times New Roman"/>
          <w:sz w:val="20"/>
        </w:rPr>
        <w:t>Registration of High-Yielding Aroma Hop (</w:t>
      </w:r>
      <w:proofErr w:type="spellStart"/>
      <w:r w:rsidRPr="009139B3">
        <w:rPr>
          <w:rFonts w:ascii="Times New Roman" w:hAnsi="Times New Roman"/>
          <w:i/>
          <w:iCs/>
          <w:sz w:val="20"/>
        </w:rPr>
        <w:t>Humulus</w:t>
      </w:r>
      <w:proofErr w:type="spellEnd"/>
      <w:r w:rsidRPr="009139B3">
        <w:rPr>
          <w:rFonts w:ascii="Times New Roman" w:hAnsi="Times New Roman"/>
          <w:i/>
          <w:iCs/>
          <w:sz w:val="20"/>
        </w:rPr>
        <w:t xml:space="preserve"> lupulus</w:t>
      </w:r>
      <w:r w:rsidRPr="00652E67">
        <w:rPr>
          <w:rFonts w:ascii="Times New Roman" w:hAnsi="Times New Roman"/>
          <w:sz w:val="20"/>
        </w:rPr>
        <w:t xml:space="preserve"> L.) </w:t>
      </w:r>
      <w:proofErr w:type="spellStart"/>
      <w:proofErr w:type="gramStart"/>
      <w:r w:rsidRPr="00652E67">
        <w:rPr>
          <w:rFonts w:ascii="Times New Roman" w:hAnsi="Times New Roman"/>
          <w:sz w:val="20"/>
        </w:rPr>
        <w:t>cultivar,‘</w:t>
      </w:r>
      <w:proofErr w:type="gramEnd"/>
      <w:r w:rsidRPr="00652E67">
        <w:rPr>
          <w:rFonts w:ascii="Times New Roman" w:hAnsi="Times New Roman"/>
          <w:sz w:val="20"/>
        </w:rPr>
        <w:t>USDA</w:t>
      </w:r>
      <w:proofErr w:type="spellEnd"/>
      <w:r w:rsidRPr="00652E67">
        <w:rPr>
          <w:rFonts w:ascii="Times New Roman" w:hAnsi="Times New Roman"/>
          <w:sz w:val="20"/>
        </w:rPr>
        <w:t xml:space="preserve"> Triumph'. </w:t>
      </w:r>
      <w:r w:rsidR="00A27D1F">
        <w:rPr>
          <w:rFonts w:ascii="Times New Roman" w:hAnsi="Times New Roman"/>
          <w:sz w:val="20"/>
        </w:rPr>
        <w:t>2021</w:t>
      </w:r>
      <w:r w:rsidRPr="00652E67">
        <w:rPr>
          <w:rFonts w:ascii="Times New Roman" w:hAnsi="Times New Roman"/>
          <w:sz w:val="20"/>
        </w:rPr>
        <w:t>. Plant Registrations, J. Crop Sci. Soc Am.</w:t>
      </w:r>
    </w:p>
    <w:p w14:paraId="663E6088" w14:textId="77777777" w:rsidR="00F0429F" w:rsidRPr="00652E67" w:rsidRDefault="00F0429F" w:rsidP="00F0429F">
      <w:pPr>
        <w:pStyle w:val="manualcc"/>
        <w:ind w:left="180" w:hanging="180"/>
        <w:rPr>
          <w:rFonts w:ascii="Times New Roman" w:hAnsi="Times New Roman"/>
          <w:sz w:val="20"/>
        </w:rPr>
      </w:pPr>
      <w:r>
        <w:rPr>
          <w:rFonts w:ascii="Times New Roman" w:hAnsi="Times New Roman"/>
          <w:sz w:val="20"/>
        </w:rPr>
        <w:t xml:space="preserve">2. </w:t>
      </w:r>
      <w:r w:rsidRPr="00652E67">
        <w:rPr>
          <w:rFonts w:ascii="Times New Roman" w:hAnsi="Times New Roman"/>
          <w:sz w:val="20"/>
        </w:rPr>
        <w:t xml:space="preserve">Adesanya, A. W., M. J. Beauchamp, M. D. Lavine, L. C. Lavine, Fang Zhu, &amp; D. B. Walsh. 2021 </w:t>
      </w:r>
    </w:p>
    <w:p w14:paraId="020A3D7E" w14:textId="77777777" w:rsidR="00F0429F" w:rsidRPr="00652E67" w:rsidRDefault="00F0429F" w:rsidP="00F0429F">
      <w:pPr>
        <w:pStyle w:val="manualcc"/>
        <w:ind w:left="720"/>
        <w:rPr>
          <w:rFonts w:ascii="Times New Roman" w:hAnsi="Times New Roman"/>
          <w:sz w:val="20"/>
        </w:rPr>
      </w:pPr>
      <w:r w:rsidRPr="00652E67">
        <w:rPr>
          <w:rFonts w:ascii="Times New Roman" w:hAnsi="Times New Roman"/>
          <w:sz w:val="20"/>
        </w:rPr>
        <w:t xml:space="preserve">Mechanisms and management of acaricide resistance for </w:t>
      </w:r>
      <w:r w:rsidRPr="009139B3">
        <w:rPr>
          <w:rFonts w:ascii="Times New Roman" w:hAnsi="Times New Roman"/>
          <w:i/>
          <w:iCs/>
          <w:sz w:val="20"/>
        </w:rPr>
        <w:t>Tetranychus urticae</w:t>
      </w:r>
      <w:r w:rsidRPr="00652E67">
        <w:rPr>
          <w:rFonts w:ascii="Times New Roman" w:hAnsi="Times New Roman"/>
          <w:sz w:val="20"/>
        </w:rPr>
        <w:t xml:space="preserve"> in agroecosystems. J Pest Sci doi.org/10.1007/s10340-021-01342-x</w:t>
      </w:r>
    </w:p>
    <w:p w14:paraId="5DE5B675" w14:textId="00318F2C" w:rsidR="00F0429F" w:rsidRPr="00652E67" w:rsidRDefault="00F0429F" w:rsidP="00F0429F">
      <w:pPr>
        <w:pStyle w:val="manualcc"/>
        <w:ind w:left="180" w:hanging="180"/>
        <w:rPr>
          <w:rFonts w:ascii="Times New Roman" w:hAnsi="Times New Roman"/>
          <w:sz w:val="20"/>
        </w:rPr>
      </w:pPr>
      <w:r>
        <w:rPr>
          <w:rFonts w:ascii="Times New Roman" w:hAnsi="Times New Roman"/>
          <w:sz w:val="20"/>
        </w:rPr>
        <w:t xml:space="preserve">3. </w:t>
      </w:r>
      <w:proofErr w:type="spellStart"/>
      <w:r w:rsidRPr="00652E67">
        <w:rPr>
          <w:rFonts w:ascii="Times New Roman" w:hAnsi="Times New Roman"/>
          <w:sz w:val="20"/>
        </w:rPr>
        <w:t>O</w:t>
      </w:r>
      <w:r w:rsidR="00F70A8C">
        <w:rPr>
          <w:rFonts w:ascii="Times New Roman" w:hAnsi="Times New Roman"/>
          <w:sz w:val="20"/>
        </w:rPr>
        <w:t>’</w:t>
      </w:r>
      <w:r w:rsidRPr="00652E67">
        <w:rPr>
          <w:rFonts w:ascii="Times New Roman" w:hAnsi="Times New Roman"/>
          <w:sz w:val="20"/>
        </w:rPr>
        <w:t>Hearn</w:t>
      </w:r>
      <w:proofErr w:type="spellEnd"/>
      <w:r w:rsidRPr="00652E67">
        <w:rPr>
          <w:rFonts w:ascii="Times New Roman" w:hAnsi="Times New Roman"/>
          <w:sz w:val="20"/>
        </w:rPr>
        <w:t xml:space="preserve">, J. &amp; D. Walsh. 2020. GLRaV-3 Vectored by Grape Mealybug, </w:t>
      </w:r>
      <w:r w:rsidRPr="009139B3">
        <w:rPr>
          <w:rFonts w:ascii="Times New Roman" w:hAnsi="Times New Roman"/>
          <w:i/>
          <w:iCs/>
          <w:sz w:val="20"/>
        </w:rPr>
        <w:t>Pseudococcus maritimus</w:t>
      </w:r>
      <w:r w:rsidRPr="00652E67">
        <w:rPr>
          <w:rFonts w:ascii="Times New Roman" w:hAnsi="Times New Roman"/>
          <w:sz w:val="20"/>
        </w:rPr>
        <w:t xml:space="preserve"> </w:t>
      </w:r>
    </w:p>
    <w:p w14:paraId="50957C60" w14:textId="77777777" w:rsidR="00F0429F" w:rsidRPr="00652E67" w:rsidRDefault="00F0429F" w:rsidP="00F0429F">
      <w:pPr>
        <w:pStyle w:val="manualcc"/>
        <w:ind w:left="720"/>
        <w:rPr>
          <w:rFonts w:ascii="Times New Roman" w:hAnsi="Times New Roman"/>
          <w:sz w:val="20"/>
        </w:rPr>
      </w:pPr>
      <w:r w:rsidRPr="00652E67">
        <w:rPr>
          <w:rFonts w:ascii="Times New Roman" w:hAnsi="Times New Roman"/>
          <w:sz w:val="20"/>
        </w:rPr>
        <w:t xml:space="preserve">(Hemiptera: </w:t>
      </w:r>
      <w:proofErr w:type="spellStart"/>
      <w:r w:rsidRPr="00652E67">
        <w:rPr>
          <w:rFonts w:ascii="Times New Roman" w:hAnsi="Times New Roman"/>
          <w:sz w:val="20"/>
        </w:rPr>
        <w:t>Pseudococcidae</w:t>
      </w:r>
      <w:proofErr w:type="spellEnd"/>
      <w:r w:rsidRPr="00652E67">
        <w:rPr>
          <w:rFonts w:ascii="Times New Roman" w:hAnsi="Times New Roman"/>
          <w:sz w:val="20"/>
        </w:rPr>
        <w:t xml:space="preserve">), at low population levels. </w:t>
      </w:r>
      <w:proofErr w:type="gramStart"/>
      <w:r w:rsidRPr="00652E67">
        <w:rPr>
          <w:rFonts w:ascii="Times New Roman" w:hAnsi="Times New Roman"/>
          <w:sz w:val="20"/>
        </w:rPr>
        <w:t xml:space="preserve">J  </w:t>
      </w:r>
      <w:proofErr w:type="spellStart"/>
      <w:r w:rsidRPr="00652E67">
        <w:rPr>
          <w:rFonts w:ascii="Times New Roman" w:hAnsi="Times New Roman"/>
          <w:sz w:val="20"/>
        </w:rPr>
        <w:t>Entomol</w:t>
      </w:r>
      <w:proofErr w:type="spellEnd"/>
      <w:proofErr w:type="gramEnd"/>
      <w:r w:rsidRPr="00652E67">
        <w:rPr>
          <w:rFonts w:ascii="Times New Roman" w:hAnsi="Times New Roman"/>
          <w:sz w:val="20"/>
        </w:rPr>
        <w:t xml:space="preserve"> Sci doi.org/10.18474/0749-8004-56.1.106. </w:t>
      </w:r>
    </w:p>
    <w:p w14:paraId="11D13F80" w14:textId="084E413C" w:rsidR="00F0429F" w:rsidRPr="00652E67" w:rsidRDefault="00F0429F" w:rsidP="00F0429F">
      <w:pPr>
        <w:pStyle w:val="manualcc"/>
        <w:ind w:left="180" w:hanging="180"/>
        <w:rPr>
          <w:rFonts w:ascii="Times New Roman" w:hAnsi="Times New Roman"/>
          <w:sz w:val="20"/>
        </w:rPr>
      </w:pPr>
      <w:r>
        <w:rPr>
          <w:rFonts w:ascii="Times New Roman" w:hAnsi="Times New Roman"/>
          <w:sz w:val="20"/>
        </w:rPr>
        <w:t xml:space="preserve">4. </w:t>
      </w:r>
      <w:r w:rsidRPr="00652E67">
        <w:rPr>
          <w:rFonts w:ascii="Times New Roman" w:hAnsi="Times New Roman"/>
          <w:sz w:val="20"/>
        </w:rPr>
        <w:t>O</w:t>
      </w:r>
      <w:r w:rsidR="00F70A8C">
        <w:rPr>
          <w:rFonts w:ascii="Times New Roman" w:hAnsi="Times New Roman"/>
          <w:sz w:val="20"/>
        </w:rPr>
        <w:t>’</w:t>
      </w:r>
      <w:r w:rsidR="00B03A53">
        <w:rPr>
          <w:rFonts w:ascii="Times New Roman" w:hAnsi="Times New Roman"/>
          <w:sz w:val="20"/>
        </w:rPr>
        <w:t xml:space="preserve"> </w:t>
      </w:r>
      <w:r w:rsidRPr="00652E67">
        <w:rPr>
          <w:rFonts w:ascii="Times New Roman" w:hAnsi="Times New Roman"/>
          <w:sz w:val="20"/>
        </w:rPr>
        <w:t xml:space="preserve">Hearn, J. &amp; D. Walsh. 2020. Effectiveness of imidacloprid, spirotetramat, and flupyradifurone to prevent </w:t>
      </w:r>
    </w:p>
    <w:p w14:paraId="237DD610" w14:textId="77777777" w:rsidR="00F0429F" w:rsidRPr="00652E67" w:rsidRDefault="00F0429F" w:rsidP="00F0429F">
      <w:pPr>
        <w:pStyle w:val="manualcc"/>
        <w:ind w:left="720"/>
        <w:rPr>
          <w:rFonts w:ascii="Times New Roman" w:hAnsi="Times New Roman"/>
          <w:sz w:val="20"/>
        </w:rPr>
      </w:pPr>
      <w:r w:rsidRPr="00652E67">
        <w:rPr>
          <w:rFonts w:ascii="Times New Roman" w:hAnsi="Times New Roman"/>
          <w:sz w:val="20"/>
        </w:rPr>
        <w:t xml:space="preserve">spread of GLRaV-3 by grape mealybug, </w:t>
      </w:r>
      <w:proofErr w:type="spellStart"/>
      <w:r w:rsidRPr="009139B3">
        <w:rPr>
          <w:rFonts w:ascii="Times New Roman" w:hAnsi="Times New Roman"/>
          <w:i/>
          <w:iCs/>
          <w:sz w:val="20"/>
        </w:rPr>
        <w:t>Pseudococcus</w:t>
      </w:r>
      <w:proofErr w:type="spellEnd"/>
      <w:r w:rsidRPr="009139B3">
        <w:rPr>
          <w:rFonts w:ascii="Times New Roman" w:hAnsi="Times New Roman"/>
          <w:i/>
          <w:iCs/>
          <w:sz w:val="20"/>
        </w:rPr>
        <w:t xml:space="preserve"> maritimus</w:t>
      </w:r>
      <w:r w:rsidRPr="00652E67">
        <w:rPr>
          <w:rFonts w:ascii="Times New Roman" w:hAnsi="Times New Roman"/>
          <w:sz w:val="20"/>
        </w:rPr>
        <w:t xml:space="preserve"> (Hemiptera: </w:t>
      </w:r>
      <w:proofErr w:type="spellStart"/>
      <w:r w:rsidRPr="00652E67">
        <w:rPr>
          <w:rFonts w:ascii="Times New Roman" w:hAnsi="Times New Roman"/>
          <w:sz w:val="20"/>
        </w:rPr>
        <w:t>Pseudococcidae</w:t>
      </w:r>
      <w:proofErr w:type="spellEnd"/>
      <w:r w:rsidRPr="00652E67">
        <w:rPr>
          <w:rFonts w:ascii="Times New Roman" w:hAnsi="Times New Roman"/>
          <w:sz w:val="20"/>
        </w:rPr>
        <w:t>). J Plant Disease and Protection. DOI https://doi.org/10.1007/s41348-020-00359-1</w:t>
      </w:r>
    </w:p>
    <w:p w14:paraId="2D89DF02" w14:textId="77777777" w:rsidR="00F0429F" w:rsidRPr="00652E67" w:rsidRDefault="00F0429F" w:rsidP="00F0429F">
      <w:pPr>
        <w:pStyle w:val="manualcc"/>
        <w:ind w:left="180" w:hanging="180"/>
        <w:rPr>
          <w:rFonts w:ascii="Times New Roman" w:hAnsi="Times New Roman"/>
          <w:sz w:val="20"/>
        </w:rPr>
      </w:pPr>
      <w:r>
        <w:rPr>
          <w:rFonts w:ascii="Times New Roman" w:hAnsi="Times New Roman"/>
          <w:sz w:val="20"/>
        </w:rPr>
        <w:t xml:space="preserve">5. </w:t>
      </w:r>
      <w:r w:rsidRPr="00652E67">
        <w:rPr>
          <w:rFonts w:ascii="Times New Roman" w:hAnsi="Times New Roman"/>
          <w:sz w:val="20"/>
        </w:rPr>
        <w:t xml:space="preserve">Adesanya, A. W., T. D. Waters, M. D. Lavine, L. C. Lavine, D. B. Walsh &amp; Fang Zhu. 2020. Multiple </w:t>
      </w:r>
    </w:p>
    <w:p w14:paraId="1D3D163D" w14:textId="77777777" w:rsidR="00F0429F" w:rsidRPr="00652E67" w:rsidRDefault="00F0429F" w:rsidP="00F0429F">
      <w:pPr>
        <w:pStyle w:val="manualcc"/>
        <w:ind w:left="720"/>
        <w:rPr>
          <w:rFonts w:ascii="Times New Roman" w:hAnsi="Times New Roman"/>
          <w:sz w:val="20"/>
        </w:rPr>
      </w:pPr>
      <w:r w:rsidRPr="00652E67">
        <w:rPr>
          <w:rFonts w:ascii="Times New Roman" w:hAnsi="Times New Roman"/>
          <w:sz w:val="20"/>
        </w:rPr>
        <w:t xml:space="preserve">insecticide resistance in onion thrips populations from Western USA. Pesticide Biochemistry and Physiology. https://doi.org/10.1016/j.pestbp.2020.104553 </w:t>
      </w:r>
    </w:p>
    <w:p w14:paraId="4B8AD2B7" w14:textId="77777777" w:rsidR="00F0429F" w:rsidRPr="00652E67" w:rsidRDefault="00F0429F" w:rsidP="00F0429F">
      <w:pPr>
        <w:pStyle w:val="manualcc"/>
        <w:ind w:left="180" w:hanging="180"/>
        <w:rPr>
          <w:rFonts w:ascii="Times New Roman" w:hAnsi="Times New Roman"/>
          <w:sz w:val="20"/>
        </w:rPr>
      </w:pPr>
      <w:r>
        <w:rPr>
          <w:rFonts w:ascii="Times New Roman" w:hAnsi="Times New Roman"/>
          <w:sz w:val="20"/>
        </w:rPr>
        <w:t xml:space="preserve">6. </w:t>
      </w:r>
      <w:r w:rsidRPr="00652E67">
        <w:rPr>
          <w:rFonts w:ascii="Times New Roman" w:hAnsi="Times New Roman"/>
          <w:sz w:val="20"/>
        </w:rPr>
        <w:t xml:space="preserve">Adesanya, A. W., M. J. Beauchamp, M. D. Lavine, L. C. Lavine, Fang Zhu, &amp; D. B. Walsh. 2020. </w:t>
      </w:r>
    </w:p>
    <w:p w14:paraId="7FA9DF6F" w14:textId="40AA956C" w:rsidR="003F6031" w:rsidRPr="003F6031" w:rsidRDefault="00F0429F" w:rsidP="00F0429F">
      <w:pPr>
        <w:pStyle w:val="manualcc"/>
        <w:ind w:left="720"/>
        <w:rPr>
          <w:rFonts w:ascii="Times New Roman" w:hAnsi="Times New Roman"/>
          <w:sz w:val="20"/>
        </w:rPr>
      </w:pPr>
      <w:r w:rsidRPr="00652E67">
        <w:rPr>
          <w:rFonts w:ascii="Times New Roman" w:hAnsi="Times New Roman"/>
          <w:sz w:val="20"/>
        </w:rPr>
        <w:t xml:space="preserve">RNA interference of NADPH-Cytochrome P450 reductase increases susceptibilities to multiple acaricides in </w:t>
      </w:r>
      <w:r w:rsidRPr="009139B3">
        <w:rPr>
          <w:rFonts w:ascii="Times New Roman" w:hAnsi="Times New Roman"/>
          <w:i/>
          <w:iCs/>
          <w:sz w:val="20"/>
        </w:rPr>
        <w:t>Tetranychus urticae</w:t>
      </w:r>
      <w:r w:rsidRPr="00652E67">
        <w:rPr>
          <w:rFonts w:ascii="Times New Roman" w:hAnsi="Times New Roman"/>
          <w:sz w:val="20"/>
        </w:rPr>
        <w:t>. Pesticide Biochemistry and Physiology. https://doi.org/10.1016/j.pestbp.2020.02.016</w:t>
      </w:r>
    </w:p>
    <w:sectPr w:rsidR="003F6031" w:rsidRPr="003F603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7BF0" w14:textId="77777777" w:rsidR="000662D9" w:rsidRDefault="000662D9" w:rsidP="00571BB3">
      <w:pPr>
        <w:spacing w:after="0" w:line="240" w:lineRule="auto"/>
      </w:pPr>
      <w:r>
        <w:separator/>
      </w:r>
    </w:p>
  </w:endnote>
  <w:endnote w:type="continuationSeparator" w:id="0">
    <w:p w14:paraId="2EFB0919" w14:textId="77777777" w:rsidR="000662D9" w:rsidRDefault="000662D9" w:rsidP="0057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DAF7" w14:textId="1E382FB2" w:rsidR="006A2437" w:rsidRPr="006A2437" w:rsidRDefault="00EC7667" w:rsidP="00351391">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Pr>
        <w:rFonts w:ascii="Times New Roman" w:hAnsi="Times New Roman" w:cs="Times New Roman"/>
        <w:smallCaps/>
        <w:sz w:val="24"/>
      </w:rPr>
      <w:t xml:space="preserve"> • </w:t>
    </w:r>
    <w:r w:rsidR="00571BB3">
      <w:rPr>
        <w:rFonts w:ascii="Times New Roman" w:hAnsi="Times New Roman" w:cs="Times New Roman"/>
        <w:smallCaps/>
        <w:sz w:val="24"/>
      </w:rPr>
      <w:t xml:space="preserve">Secondary Pests </w:t>
    </w:r>
    <w:r>
      <w:rPr>
        <w:rFonts w:ascii="Times New Roman" w:hAnsi="Times New Roman" w:cs="Times New Roman"/>
        <w:smallCaps/>
        <w:sz w:val="24"/>
      </w:rPr>
      <w:t>202</w:t>
    </w:r>
    <w:r w:rsidR="008D39C5">
      <w:rPr>
        <w:rFonts w:ascii="Times New Roman" w:hAnsi="Times New Roman" w:cs="Times New Roman"/>
        <w:smallCaps/>
        <w:sz w:val="24"/>
      </w:rPr>
      <w:t>2</w:t>
    </w:r>
    <w:r>
      <w:rPr>
        <w:rFonts w:ascii="Times New Roman" w:hAnsi="Times New Roman" w:cs="Times New Roman"/>
        <w:smallCaps/>
        <w:sz w:val="24"/>
      </w:rPr>
      <w:t xml:space="preserve"> • </w:t>
    </w:r>
    <w:r w:rsidR="000075AB">
      <w:rPr>
        <w:rFonts w:ascii="Times New Roman" w:hAnsi="Times New Roman" w:cs="Times New Roman"/>
        <w:smallCaps/>
        <w:sz w:val="24"/>
      </w:rPr>
      <w:t>Cover Pages</w:t>
    </w:r>
    <w:r>
      <w:rPr>
        <w:rFonts w:ascii="Times New Roman" w:hAnsi="Times New Roman" w:cs="Times New Roman"/>
        <w:smallCaps/>
        <w:sz w:val="24"/>
      </w:rPr>
      <w:t xml:space="preserve"> • </w:t>
    </w:r>
    <w:r w:rsidRPr="006A2437">
      <w:rPr>
        <w:rFonts w:ascii="Times New Roman" w:hAnsi="Times New Roman" w:cs="Times New Roman"/>
        <w:smallCaps/>
        <w:sz w:val="24"/>
      </w:rPr>
      <w:t xml:space="preserve">Page </w:t>
    </w:r>
    <w:r w:rsidRPr="006A2437">
      <w:rPr>
        <w:rFonts w:ascii="Times New Roman" w:hAnsi="Times New Roman" w:cs="Times New Roman"/>
        <w:smallCaps/>
        <w:sz w:val="24"/>
      </w:rPr>
      <w:fldChar w:fldCharType="begin"/>
    </w:r>
    <w:r w:rsidRPr="006A2437">
      <w:rPr>
        <w:rFonts w:ascii="Times New Roman" w:hAnsi="Times New Roman" w:cs="Times New Roman"/>
        <w:smallCaps/>
        <w:sz w:val="24"/>
      </w:rPr>
      <w:instrText xml:space="preserve"> PAGE </w:instrText>
    </w:r>
    <w:r w:rsidRPr="006A2437">
      <w:rPr>
        <w:rFonts w:ascii="Times New Roman" w:hAnsi="Times New Roman" w:cs="Times New Roman"/>
        <w:smallCaps/>
        <w:sz w:val="24"/>
      </w:rPr>
      <w:fldChar w:fldCharType="separate"/>
    </w:r>
    <w:r w:rsidR="003F6031">
      <w:rPr>
        <w:rFonts w:ascii="Times New Roman" w:hAnsi="Times New Roman" w:cs="Times New Roman"/>
        <w:smallCaps/>
        <w:noProof/>
        <w:sz w:val="24"/>
      </w:rPr>
      <w:t>2</w:t>
    </w:r>
    <w:r w:rsidRPr="006A2437">
      <w:rPr>
        <w:rFonts w:ascii="Times New Roman" w:hAnsi="Times New Roman" w:cs="Times New Roman"/>
        <w:smallCaps/>
        <w:sz w:val="24"/>
      </w:rPr>
      <w:fldChar w:fldCharType="end"/>
    </w:r>
    <w:r>
      <w:rPr>
        <w:rFonts w:ascii="Times New Roman" w:hAnsi="Times New Roman" w:cs="Times New Roman"/>
        <w:smallCaps/>
        <w:sz w:val="24"/>
      </w:rPr>
      <w:t xml:space="preserve"> of </w:t>
    </w:r>
    <w:r w:rsidR="000075AB">
      <w:rPr>
        <w:rFonts w:ascii="Times New Roman" w:hAnsi="Times New Roman" w:cs="Times New Roman"/>
        <w:smallCaps/>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918D" w14:textId="0CAD0D48" w:rsidR="000075AB" w:rsidRPr="006A2437" w:rsidRDefault="000075AB" w:rsidP="00351391">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Pr>
        <w:rFonts w:ascii="Times New Roman" w:hAnsi="Times New Roman" w:cs="Times New Roman"/>
        <w:smallCaps/>
        <w:sz w:val="24"/>
      </w:rPr>
      <w:t xml:space="preserve"> • Secondary Pests 202</w:t>
    </w:r>
    <w:r w:rsidR="006B42CA">
      <w:rPr>
        <w:rFonts w:ascii="Times New Roman" w:hAnsi="Times New Roman" w:cs="Times New Roman"/>
        <w:smallCaps/>
        <w:sz w:val="24"/>
      </w:rPr>
      <w:t>2</w:t>
    </w:r>
    <w:r>
      <w:rPr>
        <w:rFonts w:ascii="Times New Roman" w:hAnsi="Times New Roman" w:cs="Times New Roman"/>
        <w:smallCaps/>
        <w:sz w:val="24"/>
      </w:rPr>
      <w:t xml:space="preserve"> • Proposal Body • </w:t>
    </w:r>
    <w:r w:rsidRPr="006A2437">
      <w:rPr>
        <w:rFonts w:ascii="Times New Roman" w:hAnsi="Times New Roman" w:cs="Times New Roman"/>
        <w:smallCaps/>
        <w:sz w:val="24"/>
      </w:rPr>
      <w:t xml:space="preserve">Page </w:t>
    </w:r>
    <w:r w:rsidRPr="006A2437">
      <w:rPr>
        <w:rFonts w:ascii="Times New Roman" w:hAnsi="Times New Roman" w:cs="Times New Roman"/>
        <w:smallCaps/>
        <w:sz w:val="24"/>
      </w:rPr>
      <w:fldChar w:fldCharType="begin"/>
    </w:r>
    <w:r w:rsidRPr="006A2437">
      <w:rPr>
        <w:rFonts w:ascii="Times New Roman" w:hAnsi="Times New Roman" w:cs="Times New Roman"/>
        <w:smallCaps/>
        <w:sz w:val="24"/>
      </w:rPr>
      <w:instrText xml:space="preserve"> PAGE </w:instrText>
    </w:r>
    <w:r w:rsidRPr="006A2437">
      <w:rPr>
        <w:rFonts w:ascii="Times New Roman" w:hAnsi="Times New Roman" w:cs="Times New Roman"/>
        <w:smallCaps/>
        <w:sz w:val="24"/>
      </w:rPr>
      <w:fldChar w:fldCharType="separate"/>
    </w:r>
    <w:r w:rsidR="003F6031">
      <w:rPr>
        <w:rFonts w:ascii="Times New Roman" w:hAnsi="Times New Roman" w:cs="Times New Roman"/>
        <w:smallCaps/>
        <w:noProof/>
        <w:sz w:val="24"/>
      </w:rPr>
      <w:t>5</w:t>
    </w:r>
    <w:r w:rsidRPr="006A2437">
      <w:rPr>
        <w:rFonts w:ascii="Times New Roman" w:hAnsi="Times New Roman" w:cs="Times New Roman"/>
        <w:smallCaps/>
        <w:sz w:val="24"/>
      </w:rPr>
      <w:fldChar w:fldCharType="end"/>
    </w:r>
    <w:r>
      <w:rPr>
        <w:rFonts w:ascii="Times New Roman" w:hAnsi="Times New Roman" w:cs="Times New Roman"/>
        <w:smallCaps/>
        <w:sz w:val="24"/>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0041" w14:textId="0A9F8625" w:rsidR="00571BB3" w:rsidRPr="006A2437" w:rsidRDefault="00571BB3" w:rsidP="006A2437">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Pr>
        <w:rFonts w:ascii="Times New Roman" w:hAnsi="Times New Roman" w:cs="Times New Roman"/>
        <w:smallCaps/>
        <w:sz w:val="24"/>
      </w:rPr>
      <w:t xml:space="preserve"> • </w:t>
    </w:r>
    <w:r w:rsidR="00455A88">
      <w:rPr>
        <w:rFonts w:ascii="Times New Roman" w:hAnsi="Times New Roman" w:cs="Times New Roman"/>
        <w:smallCaps/>
        <w:sz w:val="24"/>
      </w:rPr>
      <w:t xml:space="preserve">Secondary Pests </w:t>
    </w:r>
    <w:r>
      <w:rPr>
        <w:rFonts w:ascii="Times New Roman" w:hAnsi="Times New Roman" w:cs="Times New Roman"/>
        <w:smallCaps/>
        <w:sz w:val="24"/>
      </w:rPr>
      <w:t>202</w:t>
    </w:r>
    <w:r w:rsidR="006A6DA8">
      <w:rPr>
        <w:rFonts w:ascii="Times New Roman" w:hAnsi="Times New Roman" w:cs="Times New Roman"/>
        <w:smallCaps/>
        <w:sz w:val="24"/>
      </w:rPr>
      <w:t>2</w:t>
    </w:r>
    <w:r>
      <w:rPr>
        <w:rFonts w:ascii="Times New Roman" w:hAnsi="Times New Roman" w:cs="Times New Roman"/>
        <w:smallCaps/>
        <w:sz w:val="24"/>
      </w:rPr>
      <w:t xml:space="preserve"> • Time Frame • </w:t>
    </w:r>
    <w:r w:rsidRPr="006A2437">
      <w:rPr>
        <w:rFonts w:ascii="Times New Roman" w:hAnsi="Times New Roman" w:cs="Times New Roman"/>
        <w:smallCaps/>
        <w:sz w:val="24"/>
      </w:rPr>
      <w:t xml:space="preserve">Page </w:t>
    </w:r>
    <w:r w:rsidRPr="006A2437">
      <w:rPr>
        <w:rFonts w:ascii="Times New Roman" w:hAnsi="Times New Roman" w:cs="Times New Roman"/>
        <w:smallCaps/>
        <w:sz w:val="24"/>
      </w:rPr>
      <w:fldChar w:fldCharType="begin"/>
    </w:r>
    <w:r w:rsidRPr="006A2437">
      <w:rPr>
        <w:rFonts w:ascii="Times New Roman" w:hAnsi="Times New Roman" w:cs="Times New Roman"/>
        <w:smallCaps/>
        <w:sz w:val="24"/>
      </w:rPr>
      <w:instrText xml:space="preserve"> PAGE </w:instrText>
    </w:r>
    <w:r w:rsidRPr="006A2437">
      <w:rPr>
        <w:rFonts w:ascii="Times New Roman" w:hAnsi="Times New Roman" w:cs="Times New Roman"/>
        <w:smallCaps/>
        <w:sz w:val="24"/>
      </w:rPr>
      <w:fldChar w:fldCharType="separate"/>
    </w:r>
    <w:r w:rsidR="003F6031">
      <w:rPr>
        <w:rFonts w:ascii="Times New Roman" w:hAnsi="Times New Roman" w:cs="Times New Roman"/>
        <w:smallCaps/>
        <w:noProof/>
        <w:sz w:val="24"/>
      </w:rPr>
      <w:t>1</w:t>
    </w:r>
    <w:r w:rsidRPr="006A2437">
      <w:rPr>
        <w:rFonts w:ascii="Times New Roman" w:hAnsi="Times New Roman" w:cs="Times New Roman"/>
        <w:smallCaps/>
        <w:sz w:val="24"/>
      </w:rPr>
      <w:fldChar w:fldCharType="end"/>
    </w:r>
    <w:r>
      <w:rPr>
        <w:rFonts w:ascii="Times New Roman" w:hAnsi="Times New Roman" w:cs="Times New Roman"/>
        <w:smallCaps/>
        <w:sz w:val="24"/>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9167" w14:textId="546B4C31" w:rsidR="00455A88" w:rsidRPr="006A2437" w:rsidRDefault="00455A88" w:rsidP="006A2437">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Pr>
        <w:rFonts w:ascii="Times New Roman" w:hAnsi="Times New Roman" w:cs="Times New Roman"/>
        <w:smallCaps/>
        <w:sz w:val="24"/>
      </w:rPr>
      <w:t xml:space="preserve"> • Secondary Pests 202</w:t>
    </w:r>
    <w:r w:rsidR="006A6DA8">
      <w:rPr>
        <w:rFonts w:ascii="Times New Roman" w:hAnsi="Times New Roman" w:cs="Times New Roman"/>
        <w:smallCaps/>
        <w:sz w:val="24"/>
      </w:rPr>
      <w:t>2</w:t>
    </w:r>
    <w:r>
      <w:rPr>
        <w:rFonts w:ascii="Times New Roman" w:hAnsi="Times New Roman" w:cs="Times New Roman"/>
        <w:smallCaps/>
        <w:sz w:val="24"/>
      </w:rPr>
      <w:t xml:space="preserve"> • Project Budget • </w:t>
    </w:r>
    <w:r w:rsidRPr="006A2437">
      <w:rPr>
        <w:rFonts w:ascii="Times New Roman" w:hAnsi="Times New Roman" w:cs="Times New Roman"/>
        <w:smallCaps/>
        <w:sz w:val="24"/>
      </w:rPr>
      <w:t xml:space="preserve">Page </w:t>
    </w:r>
    <w:r>
      <w:rPr>
        <w:rFonts w:ascii="Times New Roman" w:hAnsi="Times New Roman" w:cs="Times New Roman"/>
        <w:smallCaps/>
        <w:sz w:val="24"/>
      </w:rPr>
      <w:t>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6832" w14:textId="77777777" w:rsidR="000662D9" w:rsidRDefault="000662D9" w:rsidP="00571BB3">
      <w:pPr>
        <w:spacing w:after="0" w:line="240" w:lineRule="auto"/>
      </w:pPr>
      <w:r>
        <w:separator/>
      </w:r>
    </w:p>
  </w:footnote>
  <w:footnote w:type="continuationSeparator" w:id="0">
    <w:p w14:paraId="4FA072BB" w14:textId="77777777" w:rsidR="000662D9" w:rsidRDefault="000662D9" w:rsidP="00571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B5201"/>
    <w:multiLevelType w:val="hybridMultilevel"/>
    <w:tmpl w:val="B302FDE6"/>
    <w:lvl w:ilvl="0" w:tplc="5082D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15"/>
    <w:rsid w:val="00003DAC"/>
    <w:rsid w:val="000075AB"/>
    <w:rsid w:val="000109A4"/>
    <w:rsid w:val="00016C61"/>
    <w:rsid w:val="00020A4F"/>
    <w:rsid w:val="0002419D"/>
    <w:rsid w:val="000271D2"/>
    <w:rsid w:val="00035241"/>
    <w:rsid w:val="000463B3"/>
    <w:rsid w:val="00061A11"/>
    <w:rsid w:val="000662D9"/>
    <w:rsid w:val="00071B83"/>
    <w:rsid w:val="00093A74"/>
    <w:rsid w:val="000B1504"/>
    <w:rsid w:val="000C3968"/>
    <w:rsid w:val="000D3D0D"/>
    <w:rsid w:val="000E1ECC"/>
    <w:rsid w:val="000E2CB7"/>
    <w:rsid w:val="000F3642"/>
    <w:rsid w:val="00100EA4"/>
    <w:rsid w:val="00101973"/>
    <w:rsid w:val="001058D5"/>
    <w:rsid w:val="00114696"/>
    <w:rsid w:val="0012294E"/>
    <w:rsid w:val="001271DC"/>
    <w:rsid w:val="0013488C"/>
    <w:rsid w:val="001424E1"/>
    <w:rsid w:val="00150F9A"/>
    <w:rsid w:val="00167AE1"/>
    <w:rsid w:val="00180B52"/>
    <w:rsid w:val="00180B95"/>
    <w:rsid w:val="00185176"/>
    <w:rsid w:val="00192AC4"/>
    <w:rsid w:val="001A60A3"/>
    <w:rsid w:val="001B715C"/>
    <w:rsid w:val="001B7F01"/>
    <w:rsid w:val="001C3662"/>
    <w:rsid w:val="001D0DB1"/>
    <w:rsid w:val="001D73AB"/>
    <w:rsid w:val="001E6218"/>
    <w:rsid w:val="001F0649"/>
    <w:rsid w:val="001F50B4"/>
    <w:rsid w:val="0020685B"/>
    <w:rsid w:val="002207EB"/>
    <w:rsid w:val="00221AB7"/>
    <w:rsid w:val="00222305"/>
    <w:rsid w:val="00224E94"/>
    <w:rsid w:val="0022645E"/>
    <w:rsid w:val="00230339"/>
    <w:rsid w:val="00242E8C"/>
    <w:rsid w:val="00245011"/>
    <w:rsid w:val="0025219A"/>
    <w:rsid w:val="00255115"/>
    <w:rsid w:val="002715B7"/>
    <w:rsid w:val="00292A29"/>
    <w:rsid w:val="002973C2"/>
    <w:rsid w:val="002A2FAF"/>
    <w:rsid w:val="002B2443"/>
    <w:rsid w:val="002C081F"/>
    <w:rsid w:val="002C7701"/>
    <w:rsid w:val="002F2BB4"/>
    <w:rsid w:val="002F3A96"/>
    <w:rsid w:val="002F7B93"/>
    <w:rsid w:val="00321013"/>
    <w:rsid w:val="00324BAC"/>
    <w:rsid w:val="00325784"/>
    <w:rsid w:val="00334225"/>
    <w:rsid w:val="00337BF4"/>
    <w:rsid w:val="00362B50"/>
    <w:rsid w:val="003719E4"/>
    <w:rsid w:val="00383380"/>
    <w:rsid w:val="003850C6"/>
    <w:rsid w:val="003A5F0A"/>
    <w:rsid w:val="003A694C"/>
    <w:rsid w:val="003B59F4"/>
    <w:rsid w:val="003B6F1F"/>
    <w:rsid w:val="003D0E46"/>
    <w:rsid w:val="003D39C5"/>
    <w:rsid w:val="003E1B74"/>
    <w:rsid w:val="003F2E71"/>
    <w:rsid w:val="003F3E5C"/>
    <w:rsid w:val="003F6031"/>
    <w:rsid w:val="003F624E"/>
    <w:rsid w:val="00410CD7"/>
    <w:rsid w:val="00434BCF"/>
    <w:rsid w:val="00443B55"/>
    <w:rsid w:val="004536FD"/>
    <w:rsid w:val="00454815"/>
    <w:rsid w:val="00455A88"/>
    <w:rsid w:val="00455B58"/>
    <w:rsid w:val="00457C77"/>
    <w:rsid w:val="004806AF"/>
    <w:rsid w:val="00480C00"/>
    <w:rsid w:val="00482E0C"/>
    <w:rsid w:val="00492D28"/>
    <w:rsid w:val="004A159B"/>
    <w:rsid w:val="004A1F97"/>
    <w:rsid w:val="004B2533"/>
    <w:rsid w:val="004C2291"/>
    <w:rsid w:val="004C2BC0"/>
    <w:rsid w:val="004F3025"/>
    <w:rsid w:val="0050125A"/>
    <w:rsid w:val="00501FB1"/>
    <w:rsid w:val="00502C1B"/>
    <w:rsid w:val="0051777A"/>
    <w:rsid w:val="00526ABB"/>
    <w:rsid w:val="00554A43"/>
    <w:rsid w:val="00556A19"/>
    <w:rsid w:val="005572EC"/>
    <w:rsid w:val="00571BB3"/>
    <w:rsid w:val="00571DF0"/>
    <w:rsid w:val="005723E7"/>
    <w:rsid w:val="005747CE"/>
    <w:rsid w:val="00583D07"/>
    <w:rsid w:val="005915AC"/>
    <w:rsid w:val="00592892"/>
    <w:rsid w:val="005A6623"/>
    <w:rsid w:val="005C7208"/>
    <w:rsid w:val="005E26CC"/>
    <w:rsid w:val="005E2B4D"/>
    <w:rsid w:val="005F67D1"/>
    <w:rsid w:val="00606D33"/>
    <w:rsid w:val="00606E60"/>
    <w:rsid w:val="00634293"/>
    <w:rsid w:val="00640BAB"/>
    <w:rsid w:val="0065431C"/>
    <w:rsid w:val="0065545E"/>
    <w:rsid w:val="00655734"/>
    <w:rsid w:val="00662D1A"/>
    <w:rsid w:val="00677353"/>
    <w:rsid w:val="0068534C"/>
    <w:rsid w:val="006919CF"/>
    <w:rsid w:val="006A585A"/>
    <w:rsid w:val="006A6DA8"/>
    <w:rsid w:val="006B0F11"/>
    <w:rsid w:val="006B2749"/>
    <w:rsid w:val="006B42CA"/>
    <w:rsid w:val="006C0359"/>
    <w:rsid w:val="006C1A16"/>
    <w:rsid w:val="006F5B3A"/>
    <w:rsid w:val="00712C49"/>
    <w:rsid w:val="007150E0"/>
    <w:rsid w:val="00727A5C"/>
    <w:rsid w:val="00764834"/>
    <w:rsid w:val="0076559C"/>
    <w:rsid w:val="00772A22"/>
    <w:rsid w:val="00792F01"/>
    <w:rsid w:val="007B39D3"/>
    <w:rsid w:val="007B3AEE"/>
    <w:rsid w:val="007C6A6E"/>
    <w:rsid w:val="00804D61"/>
    <w:rsid w:val="00805E54"/>
    <w:rsid w:val="008210A1"/>
    <w:rsid w:val="00833715"/>
    <w:rsid w:val="00840C65"/>
    <w:rsid w:val="008431B4"/>
    <w:rsid w:val="00864320"/>
    <w:rsid w:val="00885C49"/>
    <w:rsid w:val="008A0DE7"/>
    <w:rsid w:val="008B4415"/>
    <w:rsid w:val="008C2B20"/>
    <w:rsid w:val="008C6349"/>
    <w:rsid w:val="008D39C5"/>
    <w:rsid w:val="008E4805"/>
    <w:rsid w:val="008E7112"/>
    <w:rsid w:val="008E7FE8"/>
    <w:rsid w:val="0090335B"/>
    <w:rsid w:val="009139B3"/>
    <w:rsid w:val="00917415"/>
    <w:rsid w:val="00926C48"/>
    <w:rsid w:val="00936585"/>
    <w:rsid w:val="009436FB"/>
    <w:rsid w:val="0095068A"/>
    <w:rsid w:val="009532AB"/>
    <w:rsid w:val="00956312"/>
    <w:rsid w:val="009768A4"/>
    <w:rsid w:val="0098183F"/>
    <w:rsid w:val="00996B17"/>
    <w:rsid w:val="009B6944"/>
    <w:rsid w:val="009E4E7D"/>
    <w:rsid w:val="009F0CDA"/>
    <w:rsid w:val="009F1953"/>
    <w:rsid w:val="009F4E8B"/>
    <w:rsid w:val="00A04AFF"/>
    <w:rsid w:val="00A16DAC"/>
    <w:rsid w:val="00A2319E"/>
    <w:rsid w:val="00A24B6D"/>
    <w:rsid w:val="00A25251"/>
    <w:rsid w:val="00A27D1F"/>
    <w:rsid w:val="00A42349"/>
    <w:rsid w:val="00A54FC3"/>
    <w:rsid w:val="00A75901"/>
    <w:rsid w:val="00A802C6"/>
    <w:rsid w:val="00A85CF1"/>
    <w:rsid w:val="00AB2D8E"/>
    <w:rsid w:val="00AC6C18"/>
    <w:rsid w:val="00AD1A3A"/>
    <w:rsid w:val="00AE491E"/>
    <w:rsid w:val="00B016D4"/>
    <w:rsid w:val="00B03A53"/>
    <w:rsid w:val="00B03B08"/>
    <w:rsid w:val="00B169A6"/>
    <w:rsid w:val="00B35F85"/>
    <w:rsid w:val="00B4765D"/>
    <w:rsid w:val="00B500C8"/>
    <w:rsid w:val="00B55606"/>
    <w:rsid w:val="00B64B33"/>
    <w:rsid w:val="00B65C71"/>
    <w:rsid w:val="00B6756F"/>
    <w:rsid w:val="00B80F3E"/>
    <w:rsid w:val="00BA0FD4"/>
    <w:rsid w:val="00BB10B9"/>
    <w:rsid w:val="00BB19A3"/>
    <w:rsid w:val="00BD46DD"/>
    <w:rsid w:val="00BE046D"/>
    <w:rsid w:val="00C030FA"/>
    <w:rsid w:val="00C316B5"/>
    <w:rsid w:val="00C4275A"/>
    <w:rsid w:val="00C52B81"/>
    <w:rsid w:val="00C57B61"/>
    <w:rsid w:val="00C62E32"/>
    <w:rsid w:val="00C6568E"/>
    <w:rsid w:val="00C66245"/>
    <w:rsid w:val="00C66344"/>
    <w:rsid w:val="00C759E5"/>
    <w:rsid w:val="00C80947"/>
    <w:rsid w:val="00C8456A"/>
    <w:rsid w:val="00C859CC"/>
    <w:rsid w:val="00C91B16"/>
    <w:rsid w:val="00CB1DC9"/>
    <w:rsid w:val="00CC1729"/>
    <w:rsid w:val="00CD0B39"/>
    <w:rsid w:val="00D63767"/>
    <w:rsid w:val="00D70D2F"/>
    <w:rsid w:val="00D758CE"/>
    <w:rsid w:val="00D85303"/>
    <w:rsid w:val="00D90703"/>
    <w:rsid w:val="00D917AC"/>
    <w:rsid w:val="00DB2EBB"/>
    <w:rsid w:val="00DF053B"/>
    <w:rsid w:val="00DF47E5"/>
    <w:rsid w:val="00E14F68"/>
    <w:rsid w:val="00E3724A"/>
    <w:rsid w:val="00E47F61"/>
    <w:rsid w:val="00E647D1"/>
    <w:rsid w:val="00E864C9"/>
    <w:rsid w:val="00E928DC"/>
    <w:rsid w:val="00E96913"/>
    <w:rsid w:val="00EA1833"/>
    <w:rsid w:val="00EA531E"/>
    <w:rsid w:val="00EC7667"/>
    <w:rsid w:val="00EE0B9F"/>
    <w:rsid w:val="00EE2A9C"/>
    <w:rsid w:val="00EE3A30"/>
    <w:rsid w:val="00EE52A8"/>
    <w:rsid w:val="00F0429F"/>
    <w:rsid w:val="00F214E3"/>
    <w:rsid w:val="00F35139"/>
    <w:rsid w:val="00F51879"/>
    <w:rsid w:val="00F70A8C"/>
    <w:rsid w:val="00F73C6E"/>
    <w:rsid w:val="00F74313"/>
    <w:rsid w:val="00F94D2D"/>
    <w:rsid w:val="00FA0343"/>
    <w:rsid w:val="00FE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5C02"/>
  <w15:chartTrackingRefBased/>
  <w15:docId w15:val="{281DBD8A-6326-4913-8361-6D904192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415"/>
    <w:rPr>
      <w:color w:val="0563C1" w:themeColor="hyperlink"/>
      <w:u w:val="single"/>
    </w:rPr>
  </w:style>
  <w:style w:type="paragraph" w:customStyle="1" w:styleId="manualcc">
    <w:name w:val="manualcc"/>
    <w:basedOn w:val="Normal"/>
    <w:uiPriority w:val="99"/>
    <w:rsid w:val="00996B17"/>
    <w:pPr>
      <w:spacing w:after="0" w:line="240" w:lineRule="auto"/>
    </w:pPr>
    <w:rPr>
      <w:rFonts w:ascii="Arial" w:eastAsia="Times New Roman" w:hAnsi="Arial" w:cs="Times New Roman"/>
      <w:szCs w:val="20"/>
    </w:rPr>
  </w:style>
  <w:style w:type="table" w:styleId="TableGrid">
    <w:name w:val="Table Grid"/>
    <w:basedOn w:val="TableNormal"/>
    <w:uiPriority w:val="39"/>
    <w:rsid w:val="0099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A531E"/>
    <w:pPr>
      <w:spacing w:before="100" w:beforeAutospacing="1" w:after="100" w:afterAutospacing="1" w:line="36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32A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32AB"/>
    <w:rPr>
      <w:rFonts w:ascii="Times New Roman" w:hAnsi="Times New Roman" w:cs="Times New Roman"/>
      <w:sz w:val="18"/>
      <w:szCs w:val="18"/>
    </w:rPr>
  </w:style>
  <w:style w:type="paragraph" w:styleId="Footer">
    <w:name w:val="footer"/>
    <w:basedOn w:val="Normal"/>
    <w:link w:val="FooterChar"/>
    <w:uiPriority w:val="99"/>
    <w:unhideWhenUsed/>
    <w:rsid w:val="00571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B3"/>
  </w:style>
  <w:style w:type="paragraph" w:styleId="Header">
    <w:name w:val="header"/>
    <w:basedOn w:val="Normal"/>
    <w:link w:val="HeaderChar"/>
    <w:uiPriority w:val="99"/>
    <w:unhideWhenUsed/>
    <w:rsid w:val="00571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B3"/>
  </w:style>
  <w:style w:type="character" w:styleId="CommentReference">
    <w:name w:val="annotation reference"/>
    <w:basedOn w:val="DefaultParagraphFont"/>
    <w:uiPriority w:val="99"/>
    <w:semiHidden/>
    <w:unhideWhenUsed/>
    <w:rsid w:val="00A25251"/>
    <w:rPr>
      <w:sz w:val="16"/>
      <w:szCs w:val="16"/>
    </w:rPr>
  </w:style>
  <w:style w:type="paragraph" w:styleId="CommentText">
    <w:name w:val="annotation text"/>
    <w:basedOn w:val="Normal"/>
    <w:link w:val="CommentTextChar"/>
    <w:uiPriority w:val="99"/>
    <w:semiHidden/>
    <w:unhideWhenUsed/>
    <w:rsid w:val="00A25251"/>
    <w:pPr>
      <w:spacing w:line="240" w:lineRule="auto"/>
    </w:pPr>
    <w:rPr>
      <w:sz w:val="20"/>
      <w:szCs w:val="20"/>
    </w:rPr>
  </w:style>
  <w:style w:type="character" w:customStyle="1" w:styleId="CommentTextChar">
    <w:name w:val="Comment Text Char"/>
    <w:basedOn w:val="DefaultParagraphFont"/>
    <w:link w:val="CommentText"/>
    <w:uiPriority w:val="99"/>
    <w:semiHidden/>
    <w:rsid w:val="00A25251"/>
    <w:rPr>
      <w:sz w:val="20"/>
      <w:szCs w:val="20"/>
    </w:rPr>
  </w:style>
  <w:style w:type="paragraph" w:styleId="CommentSubject">
    <w:name w:val="annotation subject"/>
    <w:basedOn w:val="CommentText"/>
    <w:next w:val="CommentText"/>
    <w:link w:val="CommentSubjectChar"/>
    <w:uiPriority w:val="99"/>
    <w:semiHidden/>
    <w:unhideWhenUsed/>
    <w:rsid w:val="00A25251"/>
    <w:rPr>
      <w:b/>
      <w:bCs/>
    </w:rPr>
  </w:style>
  <w:style w:type="character" w:customStyle="1" w:styleId="CommentSubjectChar">
    <w:name w:val="Comment Subject Char"/>
    <w:basedOn w:val="CommentTextChar"/>
    <w:link w:val="CommentSubject"/>
    <w:uiPriority w:val="99"/>
    <w:semiHidden/>
    <w:rsid w:val="00A25251"/>
    <w:rPr>
      <w:b/>
      <w:bCs/>
      <w:sz w:val="20"/>
      <w:szCs w:val="20"/>
    </w:rPr>
  </w:style>
  <w:style w:type="paragraph" w:styleId="Revision">
    <w:name w:val="Revision"/>
    <w:hidden/>
    <w:uiPriority w:val="99"/>
    <w:semiHidden/>
    <w:rsid w:val="000E1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sser.grants@w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3705</Words>
  <Characters>21120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Doug</dc:creator>
  <cp:keywords/>
  <dc:description/>
  <cp:lastModifiedBy>thoet thoet</cp:lastModifiedBy>
  <cp:revision>2</cp:revision>
  <cp:lastPrinted>2021-09-16T17:41:00Z</cp:lastPrinted>
  <dcterms:created xsi:type="dcterms:W3CDTF">2021-09-16T17:41:00Z</dcterms:created>
  <dcterms:modified xsi:type="dcterms:W3CDTF">2021-09-16T17:41:00Z</dcterms:modified>
</cp:coreProperties>
</file>